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012893EF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C6E61">
        <w:trPr>
          <w:trHeight w:val="3146"/>
        </w:trPr>
        <w:tc>
          <w:tcPr>
            <w:tcW w:w="5000" w:type="pct"/>
          </w:tcPr>
          <w:p w14:paraId="39550749" w14:textId="4913317C" w:rsidR="00363DC6" w:rsidRPr="0037676E" w:rsidRDefault="00EE5954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3706C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Maryland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7B24465C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72466E7A" w14:textId="77777777" w:rsidR="00A94259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91520" w:history="1">
            <w:r w:rsidR="00A94259" w:rsidRPr="00A53033">
              <w:rPr>
                <w:rStyle w:val="Hyperlink"/>
                <w:noProof/>
              </w:rPr>
              <w:t>Abstract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_Toc498591520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3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130944F8" w14:textId="77777777" w:rsidR="00A94259" w:rsidRDefault="00EE5954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521" w:history="1">
            <w:r w:rsidR="00A94259" w:rsidRPr="00A53033">
              <w:rPr>
                <w:rStyle w:val="Hyperlink"/>
                <w:noProof/>
              </w:rPr>
              <w:t>Methodology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_Toc498591521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3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65A7A14D" w14:textId="77777777" w:rsidR="00A94259" w:rsidRDefault="00EE5954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522" w:history="1">
            <w:r w:rsidR="00A94259" w:rsidRPr="00A53033">
              <w:rPr>
                <w:rStyle w:val="Hyperlink"/>
                <w:noProof/>
              </w:rPr>
              <w:t>Findings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_Toc498591522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3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6AE4048D" w14:textId="77777777" w:rsidR="00A94259" w:rsidRDefault="00EE5954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523" w:history="1">
            <w:r w:rsidR="00A94259" w:rsidRPr="00A53033">
              <w:rPr>
                <w:rStyle w:val="Hyperlink"/>
                <w:noProof/>
              </w:rPr>
              <w:t>Summary Tables:  Maryland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_Toc498591523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3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488F7F8C" w14:textId="77777777" w:rsidR="00A94259" w:rsidRDefault="00EE5954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524" w:history="1">
            <w:r w:rsidR="00A94259" w:rsidRPr="00A53033">
              <w:rPr>
                <w:rStyle w:val="Hyperlink"/>
                <w:noProof/>
              </w:rPr>
              <w:t>Health Insurance Coverage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_Toc498591524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4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441CEE1C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25" w:history="1">
            <w:r w:rsidR="00A94259" w:rsidRPr="00A53033">
              <w:rPr>
                <w:rStyle w:val="Hyperlink"/>
                <w:noProof/>
              </w:rPr>
              <w:t>Health Insurance Coverage of all American Indians and Alaska Natives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_Toc498591525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4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24E77041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26" w:history="1">
            <w:r w:rsidR="00A94259" w:rsidRPr="00A53033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_Toc498591526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5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5DCA3D69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27" w:history="1">
            <w:r w:rsidR="00A94259" w:rsidRPr="00A53033">
              <w:rPr>
                <w:rStyle w:val="Hyperlink"/>
                <w:noProof/>
              </w:rPr>
              <w:t>Health Insurance Coverage for American Indians and Alaska Natives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_Toc498591527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6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32A2D025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28" w:history="1">
            <w:r w:rsidR="00A94259" w:rsidRPr="00A53033">
              <w:rPr>
                <w:rStyle w:val="Hyperlink"/>
                <w:noProof/>
              </w:rPr>
              <w:t>Without Access to IHS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_Toc498591528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6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2B17DD9B" w14:textId="77777777" w:rsidR="00A94259" w:rsidRDefault="00EE5954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529" w:history="1">
            <w:r w:rsidR="00A94259" w:rsidRPr="00A53033">
              <w:rPr>
                <w:rStyle w:val="Hyperlink"/>
                <w:noProof/>
              </w:rPr>
              <w:t>Uninsured American Indians and Alaska Natives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_Toc498591529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6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4D9D45B2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30" w:history="1">
            <w:r w:rsidR="00A94259" w:rsidRPr="00A53033">
              <w:rPr>
                <w:rStyle w:val="Hyperlink"/>
                <w:noProof/>
              </w:rPr>
              <w:t>Uninsured American Indians and Alaska Natives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_Toc498591530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7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258794F5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31" w:history="1">
            <w:r w:rsidR="00A94259" w:rsidRPr="00A53033">
              <w:rPr>
                <w:rStyle w:val="Hyperlink"/>
                <w:noProof/>
              </w:rPr>
              <w:t>Uninsured American Indians and Alaska Natives with Access to IHS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_Toc498591531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8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5D6A45EE" w14:textId="77777777" w:rsidR="00A94259" w:rsidRDefault="00EE5954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532" w:history="1">
            <w:r w:rsidR="00A94259" w:rsidRPr="00A53033">
              <w:rPr>
                <w:rStyle w:val="Hyperlink"/>
                <w:noProof/>
              </w:rPr>
              <w:t>Uninsured American Indians and Alaska Natives without Access to IHS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_Toc498591532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9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5109ADE0" w14:textId="77777777" w:rsidR="00A94259" w:rsidRDefault="00EE5954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533" w:history="1">
            <w:r w:rsidR="00A94259" w:rsidRPr="00A53033">
              <w:rPr>
                <w:rStyle w:val="Hyperlink"/>
                <w:noProof/>
              </w:rPr>
              <w:t>Conclusion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_Toc498591533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9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7B605239" w14:textId="77777777" w:rsidR="00A94259" w:rsidRDefault="00EE5954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534" w:history="1">
            <w:r w:rsidR="00A94259" w:rsidRPr="00A53033">
              <w:rPr>
                <w:rStyle w:val="Hyperlink"/>
                <w:noProof/>
              </w:rPr>
              <w:t>Change in Access to IHS from 2012 to 2016:  Maryland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_Toc498591534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11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393F4B78" w14:textId="77777777" w:rsidR="00A94259" w:rsidRDefault="00EE5954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535" w:history="1">
            <w:r w:rsidR="00A94259" w:rsidRPr="00A53033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A94259">
              <w:rPr>
                <w:noProof/>
                <w:webHidden/>
              </w:rPr>
              <w:tab/>
            </w:r>
            <w:r w:rsidR="00A94259">
              <w:rPr>
                <w:noProof/>
                <w:webHidden/>
              </w:rPr>
              <w:fldChar w:fldCharType="begin"/>
            </w:r>
            <w:r w:rsidR="00A94259">
              <w:rPr>
                <w:noProof/>
                <w:webHidden/>
              </w:rPr>
              <w:instrText xml:space="preserve"> PAGEREF _Toc498591535 \h </w:instrText>
            </w:r>
            <w:r w:rsidR="00A94259">
              <w:rPr>
                <w:noProof/>
                <w:webHidden/>
              </w:rPr>
            </w:r>
            <w:r w:rsidR="00A94259">
              <w:rPr>
                <w:noProof/>
                <w:webHidden/>
              </w:rPr>
              <w:fldChar w:fldCharType="separate"/>
            </w:r>
            <w:r w:rsidR="003E0CFE">
              <w:rPr>
                <w:noProof/>
                <w:webHidden/>
              </w:rPr>
              <w:t>12</w:t>
            </w:r>
            <w:r w:rsidR="00A94259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10F44642" w14:textId="77777777" w:rsidR="00273CEF" w:rsidRDefault="00273CEF" w:rsidP="00273CEF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3B76C005" w14:textId="55B16172" w:rsidR="00273CEF" w:rsidRDefault="00273CEF" w:rsidP="00273CEF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D27D0F8" w14:textId="77777777" w:rsidR="00273CEF" w:rsidRDefault="00273CE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8591520"/>
      <w:r>
        <w:br w:type="page"/>
      </w:r>
    </w:p>
    <w:p w14:paraId="3CB2A145" w14:textId="0637FE6A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7777777" w:rsidR="00F0727E" w:rsidRDefault="00F0727E"/>
    <w:p w14:paraId="6B5AAD39" w14:textId="39ADCAD4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63706C">
        <w:t>Maryland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91521"/>
      <w:r>
        <w:t>Methodology</w:t>
      </w:r>
      <w:bookmarkEnd w:id="3"/>
      <w:bookmarkEnd w:id="4"/>
    </w:p>
    <w:p w14:paraId="5CE8C638" w14:textId="77777777" w:rsidR="00F0727E" w:rsidRDefault="00F0727E" w:rsidP="00F03467"/>
    <w:p w14:paraId="57C19AB0" w14:textId="7637C15D" w:rsidR="00F0727E" w:rsidRDefault="00BB7129" w:rsidP="00F03467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39129736" w14:textId="77777777" w:rsidR="00EF7265" w:rsidRDefault="00EF7265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91522"/>
      <w:r w:rsidRPr="00C05904">
        <w:t>Findings</w:t>
      </w:r>
      <w:bookmarkEnd w:id="5"/>
      <w:bookmarkEnd w:id="6"/>
    </w:p>
    <w:p w14:paraId="7EA5DDDA" w14:textId="031CF1E3" w:rsidR="00EF7265" w:rsidRDefault="00EF7265" w:rsidP="00EF7265">
      <w:pPr>
        <w:pStyle w:val="Heading3"/>
      </w:pPr>
      <w:bookmarkStart w:id="7" w:name="_Toc497980300"/>
      <w:bookmarkStart w:id="8" w:name="_Toc498591523"/>
      <w:r>
        <w:t>Summary Tables</w:t>
      </w:r>
      <w:bookmarkEnd w:id="7"/>
      <w:r w:rsidR="00A94259">
        <w:t>:  Maryland</w:t>
      </w:r>
      <w:bookmarkEnd w:id="8"/>
    </w:p>
    <w:p w14:paraId="236575C7" w14:textId="77777777" w:rsidR="00F03467" w:rsidRDefault="00F03467" w:rsidP="00F03467"/>
    <w:tbl>
      <w:tblPr>
        <w:tblW w:w="6830" w:type="dxa"/>
        <w:jc w:val="center"/>
        <w:tblLook w:val="04A0" w:firstRow="1" w:lastRow="0" w:firstColumn="1" w:lastColumn="0" w:noHBand="0" w:noVBand="1"/>
      </w:tblPr>
      <w:tblGrid>
        <w:gridCol w:w="3410"/>
        <w:gridCol w:w="3420"/>
      </w:tblGrid>
      <w:tr w:rsidR="00F03467" w:rsidRPr="00F03467" w14:paraId="65FD73F9" w14:textId="77777777" w:rsidTr="00F03467">
        <w:trPr>
          <w:trHeight w:val="340"/>
          <w:jc w:val="center"/>
        </w:trPr>
        <w:tc>
          <w:tcPr>
            <w:tcW w:w="683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5B9BD5"/>
            <w:vAlign w:val="center"/>
            <w:hideMark/>
          </w:tcPr>
          <w:p w14:paraId="7EA39E51" w14:textId="77777777" w:rsidR="00F03467" w:rsidRPr="00F03467" w:rsidRDefault="00F03467" w:rsidP="00F034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FFFFFF"/>
              </w:rPr>
              <w:t>American Indian and Alaska Native Population 2012 and 2016</w:t>
            </w:r>
          </w:p>
        </w:tc>
      </w:tr>
      <w:tr w:rsidR="00F03467" w:rsidRPr="00F03467" w14:paraId="06BFFCEE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4756FCAF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6F28AE9F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</w:tr>
      <w:tr w:rsidR="00F03467" w:rsidRPr="00F03467" w14:paraId="7AB34C08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0E56F0FC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53,399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3867A1B4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50,765</w:t>
            </w:r>
          </w:p>
        </w:tc>
      </w:tr>
      <w:tr w:rsidR="00F03467" w:rsidRPr="00F03467" w14:paraId="7E511923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C059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078" w14:textId="77777777" w:rsidR="00F03467" w:rsidRPr="00F03467" w:rsidRDefault="00F03467" w:rsidP="00F0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467" w:rsidRPr="00F03467" w14:paraId="57A24D16" w14:textId="77777777" w:rsidTr="00F03467">
        <w:trPr>
          <w:trHeight w:val="340"/>
          <w:jc w:val="center"/>
        </w:trPr>
        <w:tc>
          <w:tcPr>
            <w:tcW w:w="683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5B9BD5"/>
            <w:vAlign w:val="center"/>
            <w:hideMark/>
          </w:tcPr>
          <w:p w14:paraId="083E4323" w14:textId="62F6361E" w:rsidR="00F03467" w:rsidRPr="00F03467" w:rsidRDefault="00F03467" w:rsidP="00F034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FFFFFF"/>
              </w:rPr>
              <w:t>American Indian and Alaska Native Uninsured 2012 and 2016</w:t>
            </w:r>
          </w:p>
        </w:tc>
      </w:tr>
      <w:tr w:rsidR="00F03467" w:rsidRPr="00F03467" w14:paraId="206A3C1A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087427C0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6B25B3A9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</w:tr>
      <w:tr w:rsidR="00F03467" w:rsidRPr="00F03467" w14:paraId="28D00610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269085E4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3,016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116D4A82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3,167</w:t>
            </w:r>
          </w:p>
        </w:tc>
      </w:tr>
      <w:tr w:rsidR="00F03467" w:rsidRPr="00F03467" w14:paraId="0F51B254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6D6D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1BA" w14:textId="77777777" w:rsidR="00F03467" w:rsidRPr="00F03467" w:rsidRDefault="00F03467" w:rsidP="00F03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467" w:rsidRPr="00F03467" w14:paraId="57DE7EEE" w14:textId="77777777" w:rsidTr="00F03467">
        <w:trPr>
          <w:trHeight w:val="340"/>
          <w:jc w:val="center"/>
        </w:trPr>
        <w:tc>
          <w:tcPr>
            <w:tcW w:w="683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5B9BD5"/>
            <w:vAlign w:val="center"/>
            <w:hideMark/>
          </w:tcPr>
          <w:p w14:paraId="4C32E741" w14:textId="77777777" w:rsidR="00F03467" w:rsidRPr="00F03467" w:rsidRDefault="00F03467" w:rsidP="00F034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FFFFFF"/>
              </w:rPr>
              <w:t>Uninsured Rate 2012 and 2016</w:t>
            </w:r>
          </w:p>
        </w:tc>
      </w:tr>
      <w:tr w:rsidR="00F03467" w:rsidRPr="00F03467" w14:paraId="3E09AE56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0DB853E5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noWrap/>
            <w:vAlign w:val="center"/>
            <w:hideMark/>
          </w:tcPr>
          <w:p w14:paraId="73772D17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2016</w:t>
            </w:r>
          </w:p>
        </w:tc>
      </w:tr>
      <w:tr w:rsidR="00F03467" w:rsidRPr="00F03467" w14:paraId="16472835" w14:textId="77777777" w:rsidTr="00F03467">
        <w:trPr>
          <w:trHeight w:val="340"/>
          <w:jc w:val="center"/>
        </w:trPr>
        <w:tc>
          <w:tcPr>
            <w:tcW w:w="341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1471F123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6%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  <w:hideMark/>
          </w:tcPr>
          <w:p w14:paraId="723C81A9" w14:textId="77777777" w:rsidR="00F03467" w:rsidRPr="00F03467" w:rsidRDefault="00F03467" w:rsidP="00F0346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467">
              <w:rPr>
                <w:rFonts w:ascii="Calibri" w:eastAsia="Times New Roman" w:hAnsi="Calibri" w:cs="Times New Roman"/>
                <w:b/>
                <w:bCs/>
                <w:color w:val="000000"/>
              </w:rPr>
              <w:t>6%</w:t>
            </w:r>
          </w:p>
        </w:tc>
      </w:tr>
    </w:tbl>
    <w:p w14:paraId="4830708C" w14:textId="77777777" w:rsidR="00F03467" w:rsidRDefault="00F03467" w:rsidP="00F03467"/>
    <w:p w14:paraId="066412C3" w14:textId="77777777" w:rsidR="00F03467" w:rsidRPr="00F03467" w:rsidRDefault="00F03467" w:rsidP="00F03467"/>
    <w:p w14:paraId="0A9E86CB" w14:textId="77777777" w:rsidR="00EF7265" w:rsidRPr="00EF7265" w:rsidRDefault="00EF7265" w:rsidP="00EF7265"/>
    <w:p w14:paraId="7130E449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8591524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591525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409C7966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285CE0">
        <w:t>decreases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330228">
        <w:t xml:space="preserve">in </w:t>
      </w:r>
      <w:r w:rsidR="0063706C">
        <w:t>Maryland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285CE0">
        <w:t>nearly 5</w:t>
      </w:r>
      <w:r w:rsidR="00F124F6">
        <w:t>0,000 in</w:t>
      </w:r>
      <w:r w:rsidR="00B8520B">
        <w:t xml:space="preserve"> </w:t>
      </w:r>
      <w:r w:rsidR="001C6B17">
        <w:t xml:space="preserve">2012 </w:t>
      </w:r>
      <w:r w:rsidR="00B8520B">
        <w:t xml:space="preserve">and </w:t>
      </w:r>
      <w:r w:rsidR="00285CE0">
        <w:t>decreased by over 2,700 to 47,6</w:t>
      </w:r>
      <w:r w:rsidR="00F124F6">
        <w:t>00 in 2016.  This rep</w:t>
      </w:r>
      <w:r w:rsidR="00285CE0">
        <w:t>resents a 6</w:t>
      </w:r>
      <w:r w:rsidR="00F124F6">
        <w:t>% decline in insurance coverage at a time when most states were increasing coverage for their American Indian and Alaska Native population.</w:t>
      </w:r>
      <w:r w:rsidR="001C6B17">
        <w:t xml:space="preserve">  </w:t>
      </w:r>
      <w:r w:rsidR="00285CE0">
        <w:t>The state experienced a 2,600 drop in its overall American Indian and Alaska Native population from 2012 to 2016 and this explains, in part, the drop in coverage.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8887ED8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F651C11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814A1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7814A1" w:rsidRPr="001C6B17" w:rsidRDefault="007814A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19EDB2B1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22,556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704A2234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22,302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4B149B35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(254)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561ABF5D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7814A1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7814A1" w:rsidRPr="001C6B17" w:rsidRDefault="007814A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4B5F2947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27,827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73210A93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25,296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690C731F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(2,531)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070F0A47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-9%</w:t>
            </w:r>
          </w:p>
        </w:tc>
      </w:tr>
      <w:tr w:rsidR="007814A1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7814A1" w:rsidRPr="001C6B17" w:rsidRDefault="007814A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0550765F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50,383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0FF9DD82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47,598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25542B6C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(2,785)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4AF7BBE3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-6%</w:t>
            </w:r>
          </w:p>
        </w:tc>
      </w:tr>
      <w:tr w:rsidR="007814A1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7814A1" w:rsidRPr="001C6B17" w:rsidRDefault="007814A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350BCD5F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4A36B155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726D3180" w:rsidR="007814A1" w:rsidRPr="001C6B17" w:rsidRDefault="007814A1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7814A1" w:rsidRPr="001C6B17" w:rsidRDefault="007814A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7814A1" w:rsidRPr="001C6B17" w:rsidRDefault="007814A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3C452BCD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6650E224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5581A5F1" w:rsidR="007814A1" w:rsidRPr="001C6B17" w:rsidRDefault="007814A1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91%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7814A1" w:rsidRPr="001C6B17" w:rsidRDefault="007814A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47E4124A" w:rsidR="00532C85" w:rsidRDefault="007814A1" w:rsidP="00532C85">
      <w:pPr>
        <w:jc w:val="center"/>
      </w:pPr>
      <w:r>
        <w:rPr>
          <w:noProof/>
        </w:rPr>
        <w:drawing>
          <wp:inline distT="0" distB="0" distL="0" distR="0" wp14:anchorId="139E6CB7" wp14:editId="6CFB0899">
            <wp:extent cx="5567636" cy="2921151"/>
            <wp:effectExtent l="0" t="0" r="2095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8591526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031A0549" w:rsidR="00D9026E" w:rsidRDefault="00D9026E"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63706C">
        <w:t>Maryland</w:t>
      </w:r>
      <w:r w:rsidR="00532C85">
        <w:t xml:space="preserve"> </w:t>
      </w:r>
      <w:r w:rsidR="00E1093C">
        <w:t xml:space="preserve">who feel they have access to IHS services. </w:t>
      </w:r>
      <w:r w:rsidR="00532C85">
        <w:t>The small sample size means we can only say with confidence that the direction of change is positive, but the actual level of change is unknown.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814A1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7814A1" w:rsidRPr="00D9026E" w:rsidRDefault="007814A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4DF6BB1C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110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5CBFF45C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365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22914F7" w:rsidR="007814A1" w:rsidRPr="00D9026E" w:rsidRDefault="007814A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255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51B73662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232%</w:t>
            </w:r>
          </w:p>
        </w:tc>
      </w:tr>
      <w:tr w:rsidR="007814A1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7814A1" w:rsidRPr="00D9026E" w:rsidRDefault="007814A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3E7CBF1F" w:rsidR="007814A1" w:rsidRPr="00D9026E" w:rsidRDefault="007814A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135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33D04A65" w:rsidR="007814A1" w:rsidRPr="00D9026E" w:rsidRDefault="007814A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240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437040A7" w:rsidR="007814A1" w:rsidRPr="00D9026E" w:rsidRDefault="007814A1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105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28B5F636" w:rsidR="007814A1" w:rsidRPr="00D9026E" w:rsidRDefault="007814A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78%</w:t>
            </w:r>
          </w:p>
        </w:tc>
      </w:tr>
      <w:tr w:rsidR="007814A1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7814A1" w:rsidRPr="00D9026E" w:rsidRDefault="007814A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6363DF8A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245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17DBB418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605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1A83539C" w:rsidR="007814A1" w:rsidRPr="00D9026E" w:rsidRDefault="007814A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360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05F8E1ED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147%</w:t>
            </w:r>
          </w:p>
        </w:tc>
      </w:tr>
      <w:tr w:rsidR="007814A1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7814A1" w:rsidRPr="00D9026E" w:rsidRDefault="007814A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72B52D4B" w:rsidR="007814A1" w:rsidRPr="00D9026E" w:rsidRDefault="007814A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70C71348" w:rsidR="007814A1" w:rsidRPr="00D9026E" w:rsidRDefault="007814A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2AD9A1B9" w:rsidR="007814A1" w:rsidRPr="00D9026E" w:rsidRDefault="007814A1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7814A1" w:rsidRPr="00D9026E" w:rsidRDefault="007814A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7814A1" w:rsidRPr="00D9026E" w:rsidRDefault="007814A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6B8EAE3B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49F9C94A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793D4680" w:rsidR="007814A1" w:rsidRPr="00D9026E" w:rsidRDefault="007814A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7814A1" w:rsidRPr="00D9026E" w:rsidRDefault="007814A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03046F46" w:rsidR="00C05904" w:rsidRDefault="007814A1" w:rsidP="000F67C0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5C2D851A" wp14:editId="26721B49">
            <wp:extent cx="4856886" cy="2824707"/>
            <wp:effectExtent l="0" t="0" r="20320" b="2032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8591527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8591528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0E3DD876" w:rsidR="00D71C7B" w:rsidRDefault="00196075" w:rsidP="000E4EC4">
      <w:r>
        <w:t>The</w:t>
      </w:r>
      <w:r w:rsidR="001C5F1D">
        <w:t xml:space="preserve"> ACS estimates that there were </w:t>
      </w:r>
      <w:r w:rsidR="00285CE0">
        <w:t>50,1</w:t>
      </w:r>
      <w:r w:rsidR="00E1093C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 xml:space="preserve">, the number insured </w:t>
      </w:r>
      <w:r w:rsidR="00285CE0">
        <w:t>declined by 3,100 to nearly 47,000, a 6% decrease in health insurance coverage.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25B5642D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With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814A1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7814A1" w:rsidRPr="00196075" w:rsidRDefault="007814A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0512FB99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22,446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077E05B5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21,937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09BE6EE2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(509)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54AFF0F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-2%</w:t>
            </w:r>
          </w:p>
        </w:tc>
      </w:tr>
      <w:tr w:rsidR="007814A1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7814A1" w:rsidRPr="00196075" w:rsidRDefault="007814A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21C31356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27,692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771928C9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25,056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4AA569DB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(2,636)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52011BAB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-10%</w:t>
            </w:r>
          </w:p>
        </w:tc>
      </w:tr>
      <w:tr w:rsidR="007814A1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7814A1" w:rsidRPr="00196075" w:rsidRDefault="007814A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0747F309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50,138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25F98EB1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46,993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503022B7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(3,145)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536D1425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-6%</w:t>
            </w:r>
          </w:p>
        </w:tc>
      </w:tr>
      <w:tr w:rsidR="007814A1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7814A1" w:rsidRPr="00196075" w:rsidRDefault="007814A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2215AAD8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46C80C7A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4C83FAC1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7814A1" w:rsidRPr="00196075" w:rsidRDefault="007814A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7814A1" w:rsidRPr="00196075" w:rsidRDefault="007814A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38961D3E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1C094565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6FF202D6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84%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7814A1" w:rsidRPr="00196075" w:rsidRDefault="007814A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39B35A60" w:rsidR="00C32683" w:rsidRDefault="007814A1" w:rsidP="000F67C0">
      <w:pPr>
        <w:jc w:val="center"/>
      </w:pPr>
      <w:r>
        <w:rPr>
          <w:noProof/>
        </w:rPr>
        <w:drawing>
          <wp:inline distT="0" distB="0" distL="0" distR="0" wp14:anchorId="309EF070" wp14:editId="487180C9">
            <wp:extent cx="5839240" cy="3021871"/>
            <wp:effectExtent l="0" t="0" r="3175" b="127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45667E1B" w14:textId="77777777" w:rsidR="00285CE0" w:rsidRDefault="00285CE0" w:rsidP="0022247A">
      <w:pPr>
        <w:pStyle w:val="Heading1"/>
      </w:pPr>
      <w:bookmarkStart w:id="16" w:name="_Toc498591529"/>
    </w:p>
    <w:p w14:paraId="0800988B" w14:textId="77777777" w:rsidR="00285CE0" w:rsidRDefault="00285CE0" w:rsidP="0022247A">
      <w:pPr>
        <w:pStyle w:val="Heading1"/>
      </w:pPr>
    </w:p>
    <w:p w14:paraId="072AAA8C" w14:textId="19E8D1F5" w:rsidR="00701154" w:rsidRPr="00701154" w:rsidRDefault="00CC01B9" w:rsidP="00285CE0">
      <w:pPr>
        <w:pStyle w:val="Heading1"/>
      </w:pPr>
      <w:r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77A6525B" w14:textId="070163B4" w:rsidR="00487443" w:rsidRDefault="00701154" w:rsidP="00D71C7B">
      <w:pPr>
        <w:pStyle w:val="Heading2"/>
      </w:pPr>
      <w:bookmarkStart w:id="17" w:name="_Toc498591530"/>
      <w:r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86A78B3" w:rsidR="00CF1C57" w:rsidRPr="007814A1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7814A1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34330838" w:rsidR="007814A1" w:rsidRPr="00196075" w:rsidRDefault="007814A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345F3619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1,522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1924DBE5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2,217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4E8E9780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695 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52DDD7F8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</w:tr>
      <w:tr w:rsidR="007814A1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7814A1" w:rsidRPr="00196075" w:rsidRDefault="007814A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2812DB61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1,494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4A4ED0AA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950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600CB3AA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(544)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045579A6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-36%</w:t>
            </w:r>
          </w:p>
        </w:tc>
      </w:tr>
      <w:tr w:rsidR="007814A1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7814A1" w:rsidRPr="00196075" w:rsidRDefault="007814A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52E93FC7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3,016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1DAB926C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3,167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23BA47E5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151 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031ADDD0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5%</w:t>
            </w:r>
          </w:p>
        </w:tc>
      </w:tr>
      <w:tr w:rsidR="007814A1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7814A1" w:rsidRPr="00196075" w:rsidRDefault="007814A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266CCCE5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29705F8F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6C9DA387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460%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7814A1" w:rsidRPr="00196075" w:rsidRDefault="007814A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7814A1" w:rsidRPr="00196075" w:rsidRDefault="007814A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293DA120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09EDBE77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1111BF69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-360%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7814A1" w:rsidRPr="00196075" w:rsidRDefault="007814A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342F5583" w:rsidR="00812BEC" w:rsidRDefault="007814A1" w:rsidP="003641E1">
      <w:pPr>
        <w:jc w:val="center"/>
      </w:pPr>
      <w:r>
        <w:rPr>
          <w:noProof/>
        </w:rPr>
        <w:drawing>
          <wp:inline distT="0" distB="0" distL="0" distR="0" wp14:anchorId="16F049A0" wp14:editId="49D282AF">
            <wp:extent cx="4729886" cy="2836419"/>
            <wp:effectExtent l="0" t="0" r="20320" b="889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128E1752" w:rsidR="0022247A" w:rsidRDefault="0063706C">
      <w:r>
        <w:t>Maryland</w:t>
      </w:r>
      <w:r w:rsidR="00714861">
        <w:t xml:space="preserve"> </w:t>
      </w:r>
      <w:r w:rsidR="00B0299D">
        <w:t xml:space="preserve">had </w:t>
      </w:r>
      <w:r w:rsidR="00B8520B">
        <w:t>4,4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B8520B">
        <w:t>2,6</w:t>
      </w:r>
      <w:r w:rsidR="00714861">
        <w:t>00</w:t>
      </w:r>
      <w:r w:rsidR="00B8520B">
        <w:t xml:space="preserve"> uninsured, a 42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>ninsured.   Males made up</w:t>
      </w:r>
      <w:r w:rsidR="00B8520B">
        <w:t xml:space="preserve"> 100</w:t>
      </w:r>
      <w:r w:rsidR="00611C83">
        <w:t>% of the decrease and now males represent</w:t>
      </w:r>
      <w:r w:rsidR="00B8520B">
        <w:t xml:space="preserve"> 21</w:t>
      </w:r>
      <w:r w:rsidR="00487443">
        <w:t>% of all uninsured American Indians and Alaska Native</w:t>
      </w:r>
      <w:r w:rsidR="00714861">
        <w:t xml:space="preserve">s </w:t>
      </w:r>
      <w:r w:rsidR="00B8520B">
        <w:t>and females make up 79% of the uninsured.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03DA196A" w14:textId="77777777" w:rsidR="00CA02B1" w:rsidRDefault="00CA02B1" w:rsidP="003641E1">
      <w:pPr>
        <w:pStyle w:val="Heading2"/>
      </w:pPr>
    </w:p>
    <w:p w14:paraId="723BA3EB" w14:textId="77777777" w:rsidR="00CA02B1" w:rsidRDefault="00CA02B1" w:rsidP="003641E1">
      <w:pPr>
        <w:pStyle w:val="Heading2"/>
      </w:pPr>
    </w:p>
    <w:p w14:paraId="13439040" w14:textId="77777777" w:rsidR="00F124F6" w:rsidRDefault="00F124F6" w:rsidP="00F124F6"/>
    <w:p w14:paraId="2201AFB5" w14:textId="77777777" w:rsidR="00F124F6" w:rsidRPr="00F124F6" w:rsidRDefault="00F124F6" w:rsidP="00F124F6"/>
    <w:p w14:paraId="3B22628B" w14:textId="248A1315" w:rsidR="003641E1" w:rsidRDefault="00AC6DE7" w:rsidP="003641E1">
      <w:pPr>
        <w:pStyle w:val="Heading2"/>
      </w:pPr>
      <w:bookmarkStart w:id="18" w:name="_Toc498591531"/>
      <w:r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814A1" w:rsidRPr="00487443" w14:paraId="36247AD7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7814A1" w:rsidRPr="00487443" w:rsidRDefault="007814A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07F8C0B6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198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12628EBA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-   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236AFC4F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(198)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68D5B360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-100%</w:t>
            </w:r>
          </w:p>
        </w:tc>
      </w:tr>
      <w:tr w:rsidR="007814A1" w:rsidRPr="00487443" w14:paraId="47D54961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7814A1" w:rsidRPr="00487443" w:rsidRDefault="007814A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25D65C40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609F5F64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-   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7E9D0841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32657CBE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487443" w14:paraId="6822D364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7814A1" w:rsidRPr="00487443" w:rsidRDefault="007814A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2B31E81B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198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486B5CC4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030F31C8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(198)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7C0F80B4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-100%</w:t>
            </w:r>
          </w:p>
        </w:tc>
      </w:tr>
      <w:tr w:rsidR="007814A1" w:rsidRPr="00487443" w14:paraId="3E616904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7814A1" w:rsidRPr="00487443" w:rsidRDefault="007814A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41338F00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462C304C" w:rsidR="007814A1" w:rsidRPr="00487443" w:rsidRDefault="007814A1" w:rsidP="00781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18F3A604" w14:textId="163DF6CA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7814A1" w:rsidRPr="00487443" w:rsidRDefault="007814A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487443" w14:paraId="63A331DC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7814A1" w:rsidRPr="00487443" w:rsidRDefault="007814A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19934AF5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600D7509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343F2D7D" w14:textId="0BF8231D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7814A1" w:rsidRPr="00487443" w:rsidRDefault="007814A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58DBC03A" w:rsidR="00890498" w:rsidRDefault="007814A1" w:rsidP="00CA02B1">
      <w:pPr>
        <w:jc w:val="center"/>
      </w:pPr>
      <w:r>
        <w:rPr>
          <w:noProof/>
        </w:rPr>
        <w:drawing>
          <wp:inline distT="0" distB="0" distL="0" distR="0" wp14:anchorId="016A64B0" wp14:editId="0B0CAD35">
            <wp:extent cx="4508526" cy="2954966"/>
            <wp:effectExtent l="0" t="0" r="12700" b="1714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8B8A2B1" w14:textId="4B6E8C4A" w:rsidR="00812BEC" w:rsidRDefault="00812BEC"/>
    <w:p w14:paraId="7177F41D" w14:textId="77777777" w:rsidR="00812BEC" w:rsidRDefault="00812BEC"/>
    <w:p w14:paraId="6C862388" w14:textId="3E1FEC4A" w:rsidR="001477A3" w:rsidRDefault="00714861" w:rsidP="00514F6B">
      <w:r>
        <w:t xml:space="preserve">No conclusions can be drawn from such a small </w:t>
      </w:r>
      <w:r w:rsidR="00890498">
        <w:t>population</w:t>
      </w:r>
      <w:r>
        <w:t>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5DF582D" w14:textId="77777777" w:rsidR="00AB06C2" w:rsidRDefault="00AB06C2" w:rsidP="00514F6B"/>
    <w:p w14:paraId="24469A9B" w14:textId="77777777" w:rsidR="00AB06C2" w:rsidRDefault="00AB06C2" w:rsidP="00514F6B"/>
    <w:p w14:paraId="43A5E122" w14:textId="77777777" w:rsidR="00AB06C2" w:rsidRDefault="00AB06C2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9" w:name="_Toc498591532"/>
      <w:r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1D5C91C3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7814A1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7814A1" w:rsidRPr="00A749E3" w:rsidRDefault="007814A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01F424E6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1,324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1F4142CC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2,217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5F96C68E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893 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20740933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67%</w:t>
            </w:r>
          </w:p>
        </w:tc>
      </w:tr>
      <w:tr w:rsidR="007814A1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7814A1" w:rsidRPr="00A749E3" w:rsidRDefault="007814A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57E70B7E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1,494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7AEAC890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950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26853E46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(544)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46756D8B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-36%</w:t>
            </w:r>
          </w:p>
        </w:tc>
      </w:tr>
      <w:tr w:rsidR="007814A1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7814A1" w:rsidRPr="00A749E3" w:rsidRDefault="007814A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4D511A5A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2,818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597548FF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3,167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203A649A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349 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4DF39D27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7814A1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7814A1" w:rsidRPr="00A749E3" w:rsidRDefault="007814A1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6BD471FB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4B82DDB3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70%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28105FEA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256%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7814A1" w:rsidRPr="00A749E3" w:rsidRDefault="007814A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4A1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7814A1" w:rsidRPr="00A749E3" w:rsidRDefault="007814A1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01B40D83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38DF39CD" w:rsidR="007814A1" w:rsidRPr="00A749E3" w:rsidRDefault="007814A1" w:rsidP="00890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6A3FB8C5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-156%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7814A1" w:rsidRPr="00A749E3" w:rsidRDefault="007814A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1A801D3A" w:rsidR="00812BEC" w:rsidRDefault="007814A1" w:rsidP="009F6B2D">
      <w:pPr>
        <w:jc w:val="center"/>
      </w:pPr>
      <w:r>
        <w:rPr>
          <w:noProof/>
        </w:rPr>
        <w:drawing>
          <wp:inline distT="0" distB="0" distL="0" distR="0" wp14:anchorId="3FEDFBC8" wp14:editId="7FBB0305">
            <wp:extent cx="4615586" cy="2836418"/>
            <wp:effectExtent l="0" t="0" r="7620" b="889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1637E6D7" w14:textId="0E3318BA" w:rsidR="005511A1" w:rsidRDefault="009F2AC1" w:rsidP="005511A1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54342A">
        <w:t>nearly 3</w:t>
      </w:r>
      <w:r w:rsidR="00890498">
        <w:t>00 or 12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 Caution is advised in interpreting these estimates do to the small sample size.</w:t>
      </w:r>
      <w:r>
        <w:t xml:space="preserve"> </w:t>
      </w:r>
    </w:p>
    <w:p w14:paraId="710E1037" w14:textId="53D66D15" w:rsidR="001477A3" w:rsidRDefault="001477A3" w:rsidP="00514F6B">
      <w:pPr>
        <w:pStyle w:val="Heading1"/>
      </w:pPr>
      <w:bookmarkStart w:id="20" w:name="_Toc498591533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7B6200F6" w:rsidR="000E15B1" w:rsidRDefault="00735FE1" w:rsidP="00BB7129">
      <w:pPr>
        <w:jc w:val="both"/>
      </w:pPr>
      <w:r>
        <w:t xml:space="preserve">In </w:t>
      </w:r>
      <w:r w:rsidR="0063706C">
        <w:t>Maryland</w:t>
      </w:r>
      <w:r>
        <w:t>, t</w:t>
      </w:r>
      <w:r w:rsidR="001477A3">
        <w:t xml:space="preserve">he ACA was successful 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1DCBEA68" w14:textId="662CCC47" w:rsidR="004A2A97" w:rsidRDefault="00FA0A3A" w:rsidP="004A2A97">
      <w:r>
        <w:t>American Indian and Alaska Natives Alone and In-combination with other races.</w:t>
      </w:r>
      <w:r w:rsidR="004A2A97" w:rsidRPr="004A2A97">
        <w:t xml:space="preserve"> </w:t>
      </w:r>
    </w:p>
    <w:p w14:paraId="32EC65DC" w14:textId="77777777" w:rsidR="004A2A97" w:rsidRDefault="004A2A97" w:rsidP="004A2A97"/>
    <w:p w14:paraId="320C66BD" w14:textId="77777777" w:rsidR="004A2A97" w:rsidRDefault="004A2A97" w:rsidP="004A2A97">
      <w:pPr>
        <w:sectPr w:rsidR="004A2A97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20CE34E2" w14:textId="0878459E" w:rsidR="004A2A97" w:rsidRDefault="004A2A97" w:rsidP="004A2A97">
      <w:pPr>
        <w:pStyle w:val="Heading3"/>
      </w:pPr>
      <w:bookmarkStart w:id="21" w:name="_Toc497894752"/>
      <w:bookmarkStart w:id="22" w:name="_Toc498591534"/>
      <w:r>
        <w:lastRenderedPageBreak/>
        <w:t>Change in Access to IHS from 2012 to 2016</w:t>
      </w:r>
      <w:bookmarkEnd w:id="21"/>
      <w:r w:rsidR="00A94259">
        <w:t>:  Maryland</w:t>
      </w:r>
      <w:bookmarkEnd w:id="22"/>
    </w:p>
    <w:p w14:paraId="09138211" w14:textId="7D72BB13" w:rsidR="00A94259" w:rsidRPr="00A94259" w:rsidRDefault="00A94259" w:rsidP="00A94259">
      <w:r>
        <w:rPr>
          <w:noProof/>
        </w:rPr>
        <w:drawing>
          <wp:inline distT="0" distB="0" distL="0" distR="0" wp14:anchorId="357FCCFA" wp14:editId="69BF02C8">
            <wp:extent cx="3886200" cy="2451735"/>
            <wp:effectExtent l="0" t="0" r="0" b="1206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A7BF8" wp14:editId="5FDAAF1C">
            <wp:extent cx="3886200" cy="2459355"/>
            <wp:effectExtent l="0" t="0" r="0" b="444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E04FB8" wp14:editId="637CBA0F">
            <wp:extent cx="3886200" cy="2331720"/>
            <wp:effectExtent l="0" t="0" r="0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38CA0" wp14:editId="42FAB913">
            <wp:extent cx="3886200" cy="2331720"/>
            <wp:effectExtent l="0" t="0" r="0" b="50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1CF7BE0" w14:textId="77777777" w:rsidR="004A2A97" w:rsidRDefault="004A2A97" w:rsidP="004A2A97"/>
    <w:p w14:paraId="2FCFF593" w14:textId="55CE06DB" w:rsidR="004A2A97" w:rsidRDefault="004A2A97" w:rsidP="004A2A97"/>
    <w:p w14:paraId="580CE0E4" w14:textId="77777777" w:rsidR="004A2A97" w:rsidRDefault="004A2A97" w:rsidP="004A2A97"/>
    <w:p w14:paraId="011C7887" w14:textId="77777777" w:rsidR="004A2A97" w:rsidRDefault="004A2A97" w:rsidP="004A2A97"/>
    <w:p w14:paraId="3C488386" w14:textId="77777777" w:rsidR="004A2A97" w:rsidRDefault="004A2A97" w:rsidP="004A2A97"/>
    <w:p w14:paraId="6FBD46DD" w14:textId="77777777" w:rsidR="004A2A97" w:rsidRDefault="004A2A97" w:rsidP="004A2A97">
      <w:pPr>
        <w:sectPr w:rsidR="004A2A97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004AA4BF" w14:textId="77777777" w:rsidR="004A2A97" w:rsidRDefault="004A2A97" w:rsidP="004A2A97">
      <w:r>
        <w:br w:type="page"/>
      </w:r>
    </w:p>
    <w:p w14:paraId="4A9EE55D" w14:textId="77777777" w:rsidR="004A2A97" w:rsidRDefault="004A2A97" w:rsidP="004A2A97">
      <w:pPr>
        <w:pStyle w:val="Heading3"/>
      </w:pPr>
      <w:bookmarkStart w:id="23" w:name="_Toc497894753"/>
      <w:bookmarkStart w:id="24" w:name="_Toc498591535"/>
      <w:r>
        <w:lastRenderedPageBreak/>
        <w:t>Change in the Uninsured Rate for American Indians and Alaska Natives 2012 to 2016 in 20 States</w:t>
      </w:r>
      <w:bookmarkEnd w:id="23"/>
      <w:bookmarkEnd w:id="24"/>
    </w:p>
    <w:p w14:paraId="4CD2008B" w14:textId="77777777" w:rsidR="004A2A97" w:rsidRDefault="004A2A97" w:rsidP="004A2A97"/>
    <w:p w14:paraId="2F6BC1F8" w14:textId="77777777" w:rsidR="004A2A97" w:rsidRDefault="004A2A97" w:rsidP="004A2A97"/>
    <w:p w14:paraId="53FD0908" w14:textId="77777777" w:rsidR="004A2A97" w:rsidRDefault="004A2A97" w:rsidP="004A2A97">
      <w:pPr>
        <w:sectPr w:rsidR="004A2A97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5CEA770E" wp14:editId="29E64814">
            <wp:extent cx="8229600" cy="4612460"/>
            <wp:effectExtent l="0" t="0" r="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D736630" w14:textId="1F5E485A" w:rsidR="00CF1C57" w:rsidRDefault="00CF1C57" w:rsidP="00EF7265"/>
    <w:sectPr w:rsidR="00CF1C57" w:rsidSect="00EF726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3486" w14:textId="77777777" w:rsidR="00EE5954" w:rsidRDefault="00EE5954" w:rsidP="00CB76AA">
      <w:r>
        <w:separator/>
      </w:r>
    </w:p>
  </w:endnote>
  <w:endnote w:type="continuationSeparator" w:id="0">
    <w:p w14:paraId="457A1A99" w14:textId="77777777" w:rsidR="00EE5954" w:rsidRDefault="00EE5954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7C67" w14:textId="77777777" w:rsidR="004A2A97" w:rsidRDefault="004A2A97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F4EF7" w14:textId="77777777" w:rsidR="004A2A97" w:rsidRDefault="004A2A97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78E1" w14:textId="77777777" w:rsidR="004A2A97" w:rsidRDefault="004A2A97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FAF">
      <w:rPr>
        <w:rStyle w:val="PageNumber"/>
        <w:noProof/>
      </w:rPr>
      <w:t>4</w:t>
    </w:r>
    <w:r>
      <w:rPr>
        <w:rStyle w:val="PageNumber"/>
      </w:rPr>
      <w:fldChar w:fldCharType="end"/>
    </w:r>
  </w:p>
  <w:p w14:paraId="3E4124DB" w14:textId="37FC41A5" w:rsidR="004A2A97" w:rsidRDefault="00B43088" w:rsidP="00FE1A92">
    <w:pPr>
      <w:pStyle w:val="Footer"/>
      <w:ind w:right="360"/>
      <w:jc w:val="center"/>
    </w:pPr>
    <w:r>
      <w:t>Maryland</w:t>
    </w:r>
    <w:r w:rsidR="004A2A97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FAF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48CE4B30" w:rsidR="004B047B" w:rsidRDefault="0063706C" w:rsidP="00FE1A92">
    <w:pPr>
      <w:pStyle w:val="Footer"/>
      <w:ind w:right="360"/>
      <w:jc w:val="center"/>
    </w:pPr>
    <w:r>
      <w:t>Maryland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053" w14:textId="77777777" w:rsidR="00EE5954" w:rsidRDefault="00EE5954" w:rsidP="00CB76AA">
      <w:r>
        <w:separator/>
      </w:r>
    </w:p>
  </w:footnote>
  <w:footnote w:type="continuationSeparator" w:id="0">
    <w:p w14:paraId="4504AE03" w14:textId="77777777" w:rsidR="00EE5954" w:rsidRDefault="00EE5954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DAF7" w14:textId="77777777" w:rsidR="004A2A97" w:rsidRDefault="00EE5954">
    <w:pPr>
      <w:pStyle w:val="Header"/>
    </w:pPr>
    <w:r>
      <w:rPr>
        <w:noProof/>
      </w:rPr>
      <w:pict w14:anchorId="0267E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E69A" w14:textId="77777777" w:rsidR="004A2A97" w:rsidRDefault="00EE5954">
    <w:pPr>
      <w:pStyle w:val="Header"/>
    </w:pPr>
    <w:r>
      <w:rPr>
        <w:noProof/>
      </w:rPr>
      <w:pict w14:anchorId="6647F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66F8" w14:textId="77777777" w:rsidR="004A2A97" w:rsidRDefault="00EE5954">
    <w:pPr>
      <w:pStyle w:val="Header"/>
    </w:pPr>
    <w:r>
      <w:rPr>
        <w:noProof/>
      </w:rPr>
      <w:pict w14:anchorId="70ED9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EE5954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EE5954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EE5954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353B"/>
    <w:rsid w:val="00027E30"/>
    <w:rsid w:val="000561DC"/>
    <w:rsid w:val="00065DD2"/>
    <w:rsid w:val="000709D5"/>
    <w:rsid w:val="00095341"/>
    <w:rsid w:val="00095B66"/>
    <w:rsid w:val="000A209D"/>
    <w:rsid w:val="000A2784"/>
    <w:rsid w:val="000A4FA4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70DD2"/>
    <w:rsid w:val="00173E95"/>
    <w:rsid w:val="00186F32"/>
    <w:rsid w:val="00196075"/>
    <w:rsid w:val="001A25D7"/>
    <w:rsid w:val="001C5F1D"/>
    <w:rsid w:val="001C6B17"/>
    <w:rsid w:val="001D4B48"/>
    <w:rsid w:val="001F305A"/>
    <w:rsid w:val="00214B6B"/>
    <w:rsid w:val="0022247A"/>
    <w:rsid w:val="0025285B"/>
    <w:rsid w:val="00254165"/>
    <w:rsid w:val="0025695B"/>
    <w:rsid w:val="0026182A"/>
    <w:rsid w:val="00261B0B"/>
    <w:rsid w:val="00266551"/>
    <w:rsid w:val="00273CEF"/>
    <w:rsid w:val="00285CE0"/>
    <w:rsid w:val="00287A9D"/>
    <w:rsid w:val="002A6533"/>
    <w:rsid w:val="002C4C22"/>
    <w:rsid w:val="002D06C9"/>
    <w:rsid w:val="002F4077"/>
    <w:rsid w:val="00330228"/>
    <w:rsid w:val="00343195"/>
    <w:rsid w:val="0035201D"/>
    <w:rsid w:val="00363DC6"/>
    <w:rsid w:val="003641E1"/>
    <w:rsid w:val="00373916"/>
    <w:rsid w:val="00381571"/>
    <w:rsid w:val="003915B8"/>
    <w:rsid w:val="003A565D"/>
    <w:rsid w:val="003C6E61"/>
    <w:rsid w:val="003E0CFE"/>
    <w:rsid w:val="003E18B4"/>
    <w:rsid w:val="00400270"/>
    <w:rsid w:val="004023E8"/>
    <w:rsid w:val="00407ADA"/>
    <w:rsid w:val="00427D56"/>
    <w:rsid w:val="00431000"/>
    <w:rsid w:val="004372A9"/>
    <w:rsid w:val="00437DC4"/>
    <w:rsid w:val="004535A8"/>
    <w:rsid w:val="004562B0"/>
    <w:rsid w:val="00463E69"/>
    <w:rsid w:val="00464F5A"/>
    <w:rsid w:val="00487443"/>
    <w:rsid w:val="004959FE"/>
    <w:rsid w:val="004A2A97"/>
    <w:rsid w:val="004B047B"/>
    <w:rsid w:val="004B2A53"/>
    <w:rsid w:val="004D1466"/>
    <w:rsid w:val="004E3C84"/>
    <w:rsid w:val="004F4641"/>
    <w:rsid w:val="004F545F"/>
    <w:rsid w:val="004F681D"/>
    <w:rsid w:val="004F73C1"/>
    <w:rsid w:val="00500411"/>
    <w:rsid w:val="00514F6B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63E4"/>
    <w:rsid w:val="00611C83"/>
    <w:rsid w:val="00616660"/>
    <w:rsid w:val="00617557"/>
    <w:rsid w:val="006239EC"/>
    <w:rsid w:val="00623BEF"/>
    <w:rsid w:val="00632591"/>
    <w:rsid w:val="0063706C"/>
    <w:rsid w:val="006409C5"/>
    <w:rsid w:val="0066414F"/>
    <w:rsid w:val="006701CA"/>
    <w:rsid w:val="006B64DD"/>
    <w:rsid w:val="006D10E5"/>
    <w:rsid w:val="006E16FF"/>
    <w:rsid w:val="006E794F"/>
    <w:rsid w:val="006F6864"/>
    <w:rsid w:val="006F71A0"/>
    <w:rsid w:val="00701154"/>
    <w:rsid w:val="00713907"/>
    <w:rsid w:val="00714861"/>
    <w:rsid w:val="00735FE1"/>
    <w:rsid w:val="00736820"/>
    <w:rsid w:val="00736A27"/>
    <w:rsid w:val="00743DFC"/>
    <w:rsid w:val="007814A1"/>
    <w:rsid w:val="007A42BF"/>
    <w:rsid w:val="007A42D0"/>
    <w:rsid w:val="007B1B68"/>
    <w:rsid w:val="007D4512"/>
    <w:rsid w:val="00807966"/>
    <w:rsid w:val="00812BEC"/>
    <w:rsid w:val="0083198D"/>
    <w:rsid w:val="008367A5"/>
    <w:rsid w:val="0087219B"/>
    <w:rsid w:val="00875623"/>
    <w:rsid w:val="00890498"/>
    <w:rsid w:val="008A0242"/>
    <w:rsid w:val="008A2B19"/>
    <w:rsid w:val="008B610A"/>
    <w:rsid w:val="008C5A16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94CDB"/>
    <w:rsid w:val="00996985"/>
    <w:rsid w:val="009B3F99"/>
    <w:rsid w:val="009D525E"/>
    <w:rsid w:val="009E490B"/>
    <w:rsid w:val="009F2AC1"/>
    <w:rsid w:val="009F46F4"/>
    <w:rsid w:val="009F6B2D"/>
    <w:rsid w:val="00A134EC"/>
    <w:rsid w:val="00A35220"/>
    <w:rsid w:val="00A46FB1"/>
    <w:rsid w:val="00A470F9"/>
    <w:rsid w:val="00A749E3"/>
    <w:rsid w:val="00A74F06"/>
    <w:rsid w:val="00A77C99"/>
    <w:rsid w:val="00A82806"/>
    <w:rsid w:val="00A91A15"/>
    <w:rsid w:val="00A92611"/>
    <w:rsid w:val="00A94259"/>
    <w:rsid w:val="00AB06C2"/>
    <w:rsid w:val="00AB5049"/>
    <w:rsid w:val="00AB7A8C"/>
    <w:rsid w:val="00AC13A2"/>
    <w:rsid w:val="00AC6DE7"/>
    <w:rsid w:val="00AD2BE3"/>
    <w:rsid w:val="00AE1F1B"/>
    <w:rsid w:val="00AF14F8"/>
    <w:rsid w:val="00AF4118"/>
    <w:rsid w:val="00B0299D"/>
    <w:rsid w:val="00B13418"/>
    <w:rsid w:val="00B13D8E"/>
    <w:rsid w:val="00B16379"/>
    <w:rsid w:val="00B34DB8"/>
    <w:rsid w:val="00B43088"/>
    <w:rsid w:val="00B4581D"/>
    <w:rsid w:val="00B50DC1"/>
    <w:rsid w:val="00B5474F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C05904"/>
    <w:rsid w:val="00C1021F"/>
    <w:rsid w:val="00C32097"/>
    <w:rsid w:val="00C32683"/>
    <w:rsid w:val="00C63DC3"/>
    <w:rsid w:val="00CA02B1"/>
    <w:rsid w:val="00CA7298"/>
    <w:rsid w:val="00CA72F7"/>
    <w:rsid w:val="00CB33A0"/>
    <w:rsid w:val="00CB76AA"/>
    <w:rsid w:val="00CC01B9"/>
    <w:rsid w:val="00CC6238"/>
    <w:rsid w:val="00CD1E2C"/>
    <w:rsid w:val="00CE3EE2"/>
    <w:rsid w:val="00CE50A1"/>
    <w:rsid w:val="00CF1C57"/>
    <w:rsid w:val="00CF77FE"/>
    <w:rsid w:val="00D003DE"/>
    <w:rsid w:val="00D12A82"/>
    <w:rsid w:val="00D24DB7"/>
    <w:rsid w:val="00D319CF"/>
    <w:rsid w:val="00D35B11"/>
    <w:rsid w:val="00D451C2"/>
    <w:rsid w:val="00D5249C"/>
    <w:rsid w:val="00D71C7B"/>
    <w:rsid w:val="00D8763A"/>
    <w:rsid w:val="00D9026E"/>
    <w:rsid w:val="00DB239D"/>
    <w:rsid w:val="00DC2160"/>
    <w:rsid w:val="00DD4827"/>
    <w:rsid w:val="00DD5DD0"/>
    <w:rsid w:val="00DE2453"/>
    <w:rsid w:val="00DF16DD"/>
    <w:rsid w:val="00DF4272"/>
    <w:rsid w:val="00DF54AD"/>
    <w:rsid w:val="00E1093C"/>
    <w:rsid w:val="00E309E1"/>
    <w:rsid w:val="00E331AA"/>
    <w:rsid w:val="00E5459C"/>
    <w:rsid w:val="00E763FC"/>
    <w:rsid w:val="00E84F16"/>
    <w:rsid w:val="00E85ABB"/>
    <w:rsid w:val="00E869BA"/>
    <w:rsid w:val="00EA7190"/>
    <w:rsid w:val="00EA7812"/>
    <w:rsid w:val="00EB5152"/>
    <w:rsid w:val="00EB5F36"/>
    <w:rsid w:val="00EB7F9F"/>
    <w:rsid w:val="00EE1E57"/>
    <w:rsid w:val="00EE5954"/>
    <w:rsid w:val="00EE6E35"/>
    <w:rsid w:val="00EF7265"/>
    <w:rsid w:val="00F03467"/>
    <w:rsid w:val="00F057EF"/>
    <w:rsid w:val="00F0727E"/>
    <w:rsid w:val="00F124F6"/>
    <w:rsid w:val="00F145EA"/>
    <w:rsid w:val="00F36746"/>
    <w:rsid w:val="00F50B0D"/>
    <w:rsid w:val="00F50D08"/>
    <w:rsid w:val="00F70D72"/>
    <w:rsid w:val="00FA0A3A"/>
    <w:rsid w:val="00FB1FAF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A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A2A97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EF726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'MD3'!$M$26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'MD3'!$M$27:$M$29</c:f>
              <c:numCache>
                <c:formatCode>_(* #,##0_);_(* \(#,##0\);_(* "-"??_);_(@_)</c:formatCode>
                <c:ptCount val="3"/>
                <c:pt idx="0">
                  <c:v>22556</c:v>
                </c:pt>
                <c:pt idx="1">
                  <c:v>27827</c:v>
                </c:pt>
                <c:pt idx="2">
                  <c:v>50383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5-F844-977F-A92524A7641B}"/>
            </c:ext>
          </c:extLst>
        </c:ser>
        <c:ser>
          <c:idx val="1"/>
          <c:order val="1"/>
          <c:tx>
            <c:strRef>
              <c:f>'MD3'!$N$26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'MD3'!$N$27:$N$29</c:f>
              <c:numCache>
                <c:formatCode>_(* #,##0_);_(* \(#,##0\);_(* "-"??_);_(@_)</c:formatCode>
                <c:ptCount val="3"/>
                <c:pt idx="0">
                  <c:v>22302</c:v>
                </c:pt>
                <c:pt idx="1">
                  <c:v>25296</c:v>
                </c:pt>
                <c:pt idx="2">
                  <c:v>47598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05-F844-977F-A92524A7641B}"/>
            </c:ext>
          </c:extLst>
        </c:ser>
        <c:ser>
          <c:idx val="2"/>
          <c:order val="2"/>
          <c:tx>
            <c:strRef>
              <c:f>'MD3'!$O$26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'MD3'!$O$27:$O$29</c:f>
              <c:numCache>
                <c:formatCode>_(* #,##0_);_(* \(#,##0\);_(* "-"??_);_(@_)</c:formatCode>
                <c:ptCount val="3"/>
                <c:pt idx="0">
                  <c:v>-254</c:v>
                </c:pt>
                <c:pt idx="1">
                  <c:v>-2531</c:v>
                </c:pt>
                <c:pt idx="2">
                  <c:v>-2785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05-F844-977F-A92524A76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4736"/>
        <c:axId val="992085128"/>
      </c:barChart>
      <c:catAx>
        <c:axId val="9920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5128"/>
        <c:crosses val="autoZero"/>
        <c:auto val="1"/>
        <c:lblAlgn val="ctr"/>
        <c:lblOffset val="100"/>
        <c:noMultiLvlLbl val="0"/>
      </c:catAx>
      <c:valAx>
        <c:axId val="992085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'MD3'!$AS$52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4A-E243-926B-6670E9E8BC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4A-E243-926B-6670E9E8BC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'MD3'!$AR$53:$AR$54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'MD3'!$AS$53:$AS$54</c:f>
              <c:numCache>
                <c:formatCode>_(* #,##0_);_(* \(#,##0\);_(* "-"??_);_(@_)</c:formatCode>
                <c:ptCount val="2"/>
                <c:pt idx="0">
                  <c:v>605</c:v>
                </c:pt>
                <c:pt idx="1">
                  <c:v>50160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4A-E243-926B-6670E9E8BC1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AE-894C-9BD6-D0A66CF774EA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AE-894C-9BD6-D0A66CF774EA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AE-894C-9BD6-D0A66CF774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AE-894C-9BD6-D0A66CF77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428232"/>
        <c:axId val="940433328"/>
      </c:barChart>
      <c:catAx>
        <c:axId val="940428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33328"/>
        <c:crossesAt val="0"/>
        <c:auto val="1"/>
        <c:lblAlgn val="ctr"/>
        <c:lblOffset val="100"/>
        <c:noMultiLvlLbl val="0"/>
      </c:catAx>
      <c:valAx>
        <c:axId val="94043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428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'MD3'!$M$39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'MD3'!$M$40:$M$42</c:f>
              <c:numCache>
                <c:formatCode>_(* #,##0_);_(* \(#,##0\);_(* "-"??_);_(@_)</c:formatCode>
                <c:ptCount val="3"/>
                <c:pt idx="0">
                  <c:v>110</c:v>
                </c:pt>
                <c:pt idx="1">
                  <c:v>135</c:v>
                </c:pt>
                <c:pt idx="2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'MD3'!$N$39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'MD3'!$N$40:$N$42</c:f>
              <c:numCache>
                <c:formatCode>_(* #,##0_);_(* \(#,##0\);_(* "-"??_);_(@_)</c:formatCode>
                <c:ptCount val="3"/>
                <c:pt idx="0">
                  <c:v>365</c:v>
                </c:pt>
                <c:pt idx="1">
                  <c:v>240</c:v>
                </c:pt>
                <c:pt idx="2">
                  <c:v>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'MD3'!$O$39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'MD3'!$O$40:$O$42</c:f>
              <c:numCache>
                <c:formatCode>_(* #,##0_);_(* \(#,##0\);_(* "-"??_);_(@_)</c:formatCode>
                <c:ptCount val="3"/>
                <c:pt idx="0">
                  <c:v>255</c:v>
                </c:pt>
                <c:pt idx="1">
                  <c:v>105</c:v>
                </c:pt>
                <c:pt idx="2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1400"/>
        <c:axId val="992087480"/>
      </c:barChart>
      <c:catAx>
        <c:axId val="992091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7480"/>
        <c:crosses val="autoZero"/>
        <c:auto val="1"/>
        <c:lblAlgn val="ctr"/>
        <c:lblOffset val="100"/>
        <c:noMultiLvlLbl val="0"/>
      </c:catAx>
      <c:valAx>
        <c:axId val="99208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1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'MD3'!$M$52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'MD3'!$M$53:$M$55</c:f>
              <c:numCache>
                <c:formatCode>_(* #,##0_);_(* \(#,##0\);_(* "-"??_);_(@_)</c:formatCode>
                <c:ptCount val="3"/>
                <c:pt idx="0">
                  <c:v>22446</c:v>
                </c:pt>
                <c:pt idx="1">
                  <c:v>27692</c:v>
                </c:pt>
                <c:pt idx="2">
                  <c:v>50138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'MD3'!$N$52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'MD3'!$N$53:$N$55</c:f>
              <c:numCache>
                <c:formatCode>_(* #,##0_);_(* \(#,##0\);_(* "-"??_);_(@_)</c:formatCode>
                <c:ptCount val="3"/>
                <c:pt idx="0">
                  <c:v>21937</c:v>
                </c:pt>
                <c:pt idx="1">
                  <c:v>25056</c:v>
                </c:pt>
                <c:pt idx="2">
                  <c:v>46993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'MD3'!$O$52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'MD3'!$O$53:$O$55</c:f>
              <c:numCache>
                <c:formatCode>_(* #,##0_);_(* \(#,##0\);_(* "-"??_);_(@_)</c:formatCode>
                <c:ptCount val="3"/>
                <c:pt idx="0">
                  <c:v>-509</c:v>
                </c:pt>
                <c:pt idx="1">
                  <c:v>-2636</c:v>
                </c:pt>
                <c:pt idx="2">
                  <c:v>-3145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3752"/>
        <c:axId val="992089048"/>
      </c:barChart>
      <c:catAx>
        <c:axId val="992093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9048"/>
        <c:crosses val="autoZero"/>
        <c:auto val="1"/>
        <c:lblAlgn val="ctr"/>
        <c:lblOffset val="100"/>
        <c:noMultiLvlLbl val="0"/>
      </c:catAx>
      <c:valAx>
        <c:axId val="992089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3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'MD3'!$M$66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'MD3'!$M$67:$M$69</c:f>
              <c:numCache>
                <c:formatCode>_(* #,##0_);_(* \(#,##0\);_(* "-"??_);_(@_)</c:formatCode>
                <c:ptCount val="3"/>
                <c:pt idx="0">
                  <c:v>1522</c:v>
                </c:pt>
                <c:pt idx="1">
                  <c:v>1494</c:v>
                </c:pt>
                <c:pt idx="2">
                  <c:v>3016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'MD3'!$N$66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'MD3'!$N$67:$N$69</c:f>
              <c:numCache>
                <c:formatCode>_(* #,##0_);_(* \(#,##0\);_(* "-"??_);_(@_)</c:formatCode>
                <c:ptCount val="3"/>
                <c:pt idx="0">
                  <c:v>2217</c:v>
                </c:pt>
                <c:pt idx="1">
                  <c:v>950</c:v>
                </c:pt>
                <c:pt idx="2">
                  <c:v>3167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'MD3'!$O$66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'MD3'!$O$67:$O$69</c:f>
              <c:numCache>
                <c:formatCode>_(* #,##0_);_(* \(#,##0\);_(* "-"??_);_(@_)</c:formatCode>
                <c:ptCount val="3"/>
                <c:pt idx="0">
                  <c:v>695</c:v>
                </c:pt>
                <c:pt idx="1">
                  <c:v>-544</c:v>
                </c:pt>
                <c:pt idx="2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7872"/>
        <c:axId val="992088656"/>
      </c:barChart>
      <c:catAx>
        <c:axId val="99208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8656"/>
        <c:crosses val="autoZero"/>
        <c:auto val="1"/>
        <c:lblAlgn val="ctr"/>
        <c:lblOffset val="100"/>
        <c:noMultiLvlLbl val="0"/>
      </c:catAx>
      <c:valAx>
        <c:axId val="99208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'MD3'!$M$79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'MD3'!$M$80:$M$82</c:f>
              <c:numCache>
                <c:formatCode>_(* #,##0_);_(* \(#,##0\);_(* "-"??_);_(@_)</c:formatCode>
                <c:ptCount val="3"/>
                <c:pt idx="0">
                  <c:v>198</c:v>
                </c:pt>
                <c:pt idx="1">
                  <c:v>0</c:v>
                </c:pt>
                <c:pt idx="2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'MD3'!$N$79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'MD3'!$N$80:$N$82</c:f>
              <c:numCache>
                <c:formatCode>_(* #,##0_);_(* \(#,##0\);_(* "-"??_);_(@_)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'MD3'!$O$79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'MD3'!$O$80:$O$82</c:f>
              <c:numCache>
                <c:formatCode>_(* #,##0_);_(* \(#,##0\);_(* "-"??_);_(@_)</c:formatCode>
                <c:ptCount val="3"/>
                <c:pt idx="0">
                  <c:v>-198</c:v>
                </c:pt>
                <c:pt idx="1">
                  <c:v>0</c:v>
                </c:pt>
                <c:pt idx="2">
                  <c:v>-198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9440"/>
        <c:axId val="992090616"/>
      </c:barChart>
      <c:catAx>
        <c:axId val="99208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0616"/>
        <c:crosses val="autoZero"/>
        <c:auto val="1"/>
        <c:lblAlgn val="ctr"/>
        <c:lblOffset val="100"/>
        <c:noMultiLvlLbl val="0"/>
      </c:catAx>
      <c:valAx>
        <c:axId val="99209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'MD3'!$M$92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'MD3'!$M$93:$M$95</c:f>
              <c:numCache>
                <c:formatCode>_(* #,##0_);_(* \(#,##0\);_(* "-"??_);_(@_)</c:formatCode>
                <c:ptCount val="3"/>
                <c:pt idx="0">
                  <c:v>1324</c:v>
                </c:pt>
                <c:pt idx="1">
                  <c:v>1494</c:v>
                </c:pt>
                <c:pt idx="2">
                  <c:v>2818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'MD3'!$N$92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'MD3'!$N$93:$N$95</c:f>
              <c:numCache>
                <c:formatCode>_(* #,##0_);_(* \(#,##0\);_(* "-"??_);_(@_)</c:formatCode>
                <c:ptCount val="3"/>
                <c:pt idx="0">
                  <c:v>2217</c:v>
                </c:pt>
                <c:pt idx="1">
                  <c:v>950</c:v>
                </c:pt>
                <c:pt idx="2">
                  <c:v>3167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'MD3'!$O$92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'MD3'!$L$93:$L$95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'MD3'!$O$93:$O$95</c:f>
              <c:numCache>
                <c:formatCode>_(* #,##0_);_(* \(#,##0\);_(* "-"??_);_(@_)</c:formatCode>
                <c:ptCount val="3"/>
                <c:pt idx="0">
                  <c:v>893</c:v>
                </c:pt>
                <c:pt idx="1">
                  <c:v>-544</c:v>
                </c:pt>
                <c:pt idx="2">
                  <c:v>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2576"/>
        <c:axId val="992092968"/>
      </c:barChart>
      <c:catAx>
        <c:axId val="9920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2968"/>
        <c:crosses val="autoZero"/>
        <c:auto val="1"/>
        <c:lblAlgn val="ctr"/>
        <c:lblOffset val="100"/>
        <c:noMultiLvlLbl val="0"/>
      </c:catAx>
      <c:valAx>
        <c:axId val="992092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'MD3'!$AS$34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'MD3'!$AR$35:$AR$36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'MD3'!$AS$35:$AS$36</c:f>
              <c:numCache>
                <c:formatCode>_(* #,##0_);_(* \(#,##0\);_(* "-"??_);_(@_)</c:formatCode>
                <c:ptCount val="2"/>
                <c:pt idx="0">
                  <c:v>110</c:v>
                </c:pt>
                <c:pt idx="1">
                  <c:v>11781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'MD3'!$AS$39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'MD3'!$AR$40:$AR$41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'MD3'!$AS$40:$AS$41</c:f>
              <c:numCache>
                <c:formatCode>_(* #,##0_);_(* \(#,##0\);_(* "-"??_);_(@_)</c:formatCode>
                <c:ptCount val="2"/>
                <c:pt idx="0">
                  <c:v>0</c:v>
                </c:pt>
                <c:pt idx="1">
                  <c:v>13710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'MD3'!$AS$47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10-0646-BC45-1A8663E0E6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10-0646-BC45-1A8663E0E6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'MD3'!$AR$48:$AR$49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'MD3'!$AS$48:$AS$49</c:f>
              <c:numCache>
                <c:formatCode>_(* #,##0_);_(* \(#,##0\);_(* "-"??_);_(@_)</c:formatCode>
                <c:ptCount val="2"/>
                <c:pt idx="0">
                  <c:v>443</c:v>
                </c:pt>
                <c:pt idx="1">
                  <c:v>52956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10-0646-BC45-1A8663E0E6F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598591-01BB-8C41-A1CD-7BABF149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Health INsurance Coverage for American Indians and Alaska Natives:  The Impact of the affordable care act 2012-2016.</vt:lpstr>
    </vt:vector>
  </TitlesOfParts>
  <Company>Hewlett-Packard Company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2017-12-02T19:02:00Z</cp:lastPrinted>
  <dcterms:created xsi:type="dcterms:W3CDTF">2018-02-26T15:58:00Z</dcterms:created>
  <dcterms:modified xsi:type="dcterms:W3CDTF">2018-04-19T18:01:00Z</dcterms:modified>
</cp:coreProperties>
</file>