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0D145EF7" w:rsidR="00363DC6" w:rsidRPr="0037676E" w:rsidRDefault="007C4935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618BE8F8" wp14:editId="243CD247">
            <wp:extent cx="3994948" cy="102933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AF7FF6">
        <w:trPr>
          <w:trHeight w:val="3083"/>
        </w:trPr>
        <w:tc>
          <w:tcPr>
            <w:tcW w:w="5000" w:type="pct"/>
          </w:tcPr>
          <w:p w14:paraId="39550749" w14:textId="517CF521" w:rsidR="00363DC6" w:rsidRPr="0037676E" w:rsidRDefault="009F30B7" w:rsidP="00AF198F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E751E9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California</w:t>
                </w:r>
                <w:r w:rsidR="000375B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Health INsurance Coverage for American Indians and Alaska Natives:  The Impact of t</w:t>
                </w:r>
                <w:r w:rsidR="00D87DF8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0375B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</w:tbl>
    <w:p w14:paraId="5C213D9B" w14:textId="787FC846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0DA6688D" w14:textId="77777777" w:rsidR="00AA2B99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71062" w:history="1">
            <w:r w:rsidR="00AA2B99" w:rsidRPr="00741178">
              <w:rPr>
                <w:rStyle w:val="Hyperlink"/>
                <w:noProof/>
              </w:rPr>
              <w:t>Abstract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_Toc498571062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3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4405AED5" w14:textId="77777777" w:rsidR="00AA2B99" w:rsidRDefault="009F30B7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1063" w:history="1">
            <w:r w:rsidR="00AA2B99" w:rsidRPr="00741178">
              <w:rPr>
                <w:rStyle w:val="Hyperlink"/>
                <w:noProof/>
              </w:rPr>
              <w:t>Methodology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_Toc498571063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3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2910F167" w14:textId="77777777" w:rsidR="00AA2B99" w:rsidRDefault="009F30B7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1064" w:history="1">
            <w:r w:rsidR="00AA2B99" w:rsidRPr="00741178">
              <w:rPr>
                <w:rStyle w:val="Hyperlink"/>
                <w:noProof/>
              </w:rPr>
              <w:t>Findings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_Toc498571064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3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0A09D5F6" w14:textId="77777777" w:rsidR="00AA2B99" w:rsidRDefault="009F30B7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71065" w:history="1">
            <w:r w:rsidR="00AA2B99" w:rsidRPr="00741178">
              <w:rPr>
                <w:rStyle w:val="Hyperlink"/>
                <w:noProof/>
              </w:rPr>
              <w:t>Summary Tables:  California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_Toc498571065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3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3661F42B" w14:textId="77777777" w:rsidR="00AA2B99" w:rsidRDefault="009F30B7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1066" w:history="1">
            <w:r w:rsidR="00AA2B99" w:rsidRPr="00741178">
              <w:rPr>
                <w:rStyle w:val="Hyperlink"/>
                <w:noProof/>
              </w:rPr>
              <w:t>Health Insurance Coverage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_Toc498571066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4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66E0D921" w14:textId="77777777" w:rsidR="00AA2B99" w:rsidRDefault="009F30B7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1067" w:history="1">
            <w:r w:rsidR="00AA2B99" w:rsidRPr="00741178">
              <w:rPr>
                <w:rStyle w:val="Hyperlink"/>
                <w:noProof/>
              </w:rPr>
              <w:t>Health Insurance Coverage of all American Indians and Alaska Natives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_Toc498571067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4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5AF6BA14" w14:textId="77777777" w:rsidR="00AA2B99" w:rsidRDefault="009F30B7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1068" w:history="1">
            <w:r w:rsidR="00AA2B99" w:rsidRPr="00741178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_Toc498571068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5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464D6B1B" w14:textId="77777777" w:rsidR="00AA2B99" w:rsidRDefault="009F30B7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1069" w:history="1">
            <w:r w:rsidR="00AA2B99" w:rsidRPr="00741178">
              <w:rPr>
                <w:rStyle w:val="Hyperlink"/>
                <w:noProof/>
              </w:rPr>
              <w:t>Health Insurance Coverage for American Indians and Alaska Natives Without Access to IHS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_Toc498571069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6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2312BC7C" w14:textId="77777777" w:rsidR="00AA2B99" w:rsidRDefault="009F30B7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1070" w:history="1">
            <w:r w:rsidR="00AA2B99" w:rsidRPr="00741178">
              <w:rPr>
                <w:rStyle w:val="Hyperlink"/>
                <w:noProof/>
              </w:rPr>
              <w:t>Uninsured American Indians and Alaska Natives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_Toc498571070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7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20D59413" w14:textId="77777777" w:rsidR="00AA2B99" w:rsidRDefault="009F30B7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1071" w:history="1">
            <w:r w:rsidR="00AA2B99" w:rsidRPr="00741178">
              <w:rPr>
                <w:rStyle w:val="Hyperlink"/>
                <w:noProof/>
              </w:rPr>
              <w:t>Uninsured American Indians and Alaska Natives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_Toc498571071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7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3C9E6B21" w14:textId="77777777" w:rsidR="00AA2B99" w:rsidRDefault="009F30B7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1072" w:history="1">
            <w:r w:rsidR="00AA2B99" w:rsidRPr="00741178">
              <w:rPr>
                <w:rStyle w:val="Hyperlink"/>
                <w:noProof/>
              </w:rPr>
              <w:t>Uninsured American Indians and Alaska Natives with Access to IHS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_Toc498571072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8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24809CBE" w14:textId="77777777" w:rsidR="00AA2B99" w:rsidRDefault="009F30B7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71073" w:history="1">
            <w:r w:rsidR="00AA2B99" w:rsidRPr="00741178">
              <w:rPr>
                <w:rStyle w:val="Hyperlink"/>
                <w:noProof/>
              </w:rPr>
              <w:t>Uninsured American Indians and Alaska Natives without Access to IHS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_Toc498571073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9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7509F0FF" w14:textId="77777777" w:rsidR="00AA2B99" w:rsidRDefault="009F30B7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71074" w:history="1">
            <w:r w:rsidR="00AA2B99" w:rsidRPr="00741178">
              <w:rPr>
                <w:rStyle w:val="Hyperlink"/>
                <w:noProof/>
              </w:rPr>
              <w:t>Conclusion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_Toc498571074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10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196F6DE3" w14:textId="77777777" w:rsidR="00AA2B99" w:rsidRDefault="009F30B7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71075" w:history="1">
            <w:r w:rsidR="00AA2B99" w:rsidRPr="00741178">
              <w:rPr>
                <w:rStyle w:val="Hyperlink"/>
                <w:noProof/>
              </w:rPr>
              <w:t>Change in Access to IHS from 2012 to 2016:  California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_Toc498571075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11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62D74BB2" w14:textId="77777777" w:rsidR="00AA2B99" w:rsidRDefault="009F30B7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71076" w:history="1">
            <w:r w:rsidR="00AA2B99" w:rsidRPr="00741178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AA2B99">
              <w:rPr>
                <w:noProof/>
                <w:webHidden/>
              </w:rPr>
              <w:tab/>
            </w:r>
            <w:r w:rsidR="00AA2B99">
              <w:rPr>
                <w:noProof/>
                <w:webHidden/>
              </w:rPr>
              <w:fldChar w:fldCharType="begin"/>
            </w:r>
            <w:r w:rsidR="00AA2B99">
              <w:rPr>
                <w:noProof/>
                <w:webHidden/>
              </w:rPr>
              <w:instrText xml:space="preserve"> PAGEREF _Toc498571076 \h </w:instrText>
            </w:r>
            <w:r w:rsidR="00AA2B99">
              <w:rPr>
                <w:noProof/>
                <w:webHidden/>
              </w:rPr>
            </w:r>
            <w:r w:rsidR="00AA2B99">
              <w:rPr>
                <w:noProof/>
                <w:webHidden/>
              </w:rPr>
              <w:fldChar w:fldCharType="separate"/>
            </w:r>
            <w:r w:rsidR="00AA2B99">
              <w:rPr>
                <w:noProof/>
                <w:webHidden/>
              </w:rPr>
              <w:t>12</w:t>
            </w:r>
            <w:r w:rsidR="00AA2B99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77107868" w14:textId="77777777" w:rsidR="006C2CAF" w:rsidRDefault="006C2CAF" w:rsidP="006C2CAF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GoBack"/>
      <w:bookmarkEnd w:id="1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3CB2A145" w14:textId="661E765E" w:rsidR="00F0727E" w:rsidRDefault="00F0727E" w:rsidP="00514F6B">
      <w:pPr>
        <w:pStyle w:val="Heading1"/>
      </w:pPr>
      <w:bookmarkStart w:id="2" w:name="_Toc498571062"/>
      <w:r>
        <w:lastRenderedPageBreak/>
        <w:t>Abstract</w:t>
      </w:r>
      <w:bookmarkEnd w:id="0"/>
      <w:bookmarkEnd w:id="2"/>
    </w:p>
    <w:p w14:paraId="08F99010" w14:textId="77777777" w:rsidR="00F0727E" w:rsidRDefault="00F0727E"/>
    <w:p w14:paraId="6B5AAD39" w14:textId="6D6EC859" w:rsidR="00F0727E" w:rsidRDefault="00E74EA8">
      <w:r>
        <w:t>This data brief</w:t>
      </w:r>
      <w:r w:rsidR="00F0727E">
        <w:t xml:space="preserve"> 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5B0E8A">
        <w:t>California</w:t>
      </w:r>
      <w:r w:rsidR="00F0727E">
        <w:t xml:space="preserve"> 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 xml:space="preserve">ty Survey depicts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>.  It also depicts</w:t>
      </w:r>
      <w:r w:rsidR="001C6B17">
        <w:t xml:space="preserve"> </w:t>
      </w:r>
      <w:r w:rsidR="00124D04">
        <w:t>variation for American Indians and Alaska Natives with or without access to IHS-funded health programs</w:t>
      </w:r>
      <w:r w:rsidR="001C6B17">
        <w:t xml:space="preserve">. </w:t>
      </w:r>
      <w:r w:rsidR="00124D04">
        <w:t>The ove</w:t>
      </w:r>
      <w:r w:rsidR="007C1477">
        <w:t xml:space="preserve">rall decline in uninsured was </w:t>
      </w:r>
      <w:r w:rsidR="00693E71">
        <w:t>62</w:t>
      </w:r>
      <w:r w:rsidR="00124D04">
        <w:t xml:space="preserve">% for all American Indians and Alaska Natives.  </w:t>
      </w:r>
      <w:r w:rsidR="00BB7129">
        <w:t>However, the decline for those American Indians and Alaska Natives with access to</w:t>
      </w:r>
      <w:r w:rsidR="00B807AD">
        <w:t xml:space="preserve"> IHS-funded programs was 16</w:t>
      </w:r>
      <w:r w:rsidR="00BB7129">
        <w:t>% c</w:t>
      </w:r>
      <w:r w:rsidR="00B807AD">
        <w:t>ompared the 58</w:t>
      </w:r>
      <w:r w:rsidR="00BB7129">
        <w:t>% decline for those without access to IHS.</w:t>
      </w:r>
      <w:r w:rsidR="00CE449D">
        <w:t xml:space="preserve">  The increase in the number insured was 14% or nearly 73,000 newly insured in a state that saw a slight population decline from 2012 to 2016.  The result of this success was a near lowest in the nation uninsured rate of 7%, down from 19% in 2012.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71063"/>
      <w:r>
        <w:t>Methodology</w:t>
      </w:r>
      <w:bookmarkEnd w:id="3"/>
      <w:bookmarkEnd w:id="4"/>
    </w:p>
    <w:p w14:paraId="5CE8C638" w14:textId="77777777" w:rsidR="00F0727E" w:rsidRDefault="00F0727E"/>
    <w:p w14:paraId="57C19AB0" w14:textId="0BB35369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2015.  The analysis is built on the comparison between the two years to the</w:t>
      </w:r>
      <w:r w:rsidR="00514F6B">
        <w:t xml:space="preserve"> two variables of sex and access to IHS.</w:t>
      </w:r>
    </w:p>
    <w:p w14:paraId="3CA88379" w14:textId="77777777" w:rsidR="00F44B5A" w:rsidRDefault="00F44B5A"/>
    <w:p w14:paraId="27C899B1" w14:textId="77777777" w:rsidR="00F44B5A" w:rsidRDefault="00F44B5A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71064"/>
      <w:r w:rsidRPr="00C05904">
        <w:t>Findings</w:t>
      </w:r>
      <w:bookmarkEnd w:id="5"/>
      <w:bookmarkEnd w:id="6"/>
    </w:p>
    <w:p w14:paraId="6DAF9F83" w14:textId="59F9125E" w:rsidR="00F44B5A" w:rsidRDefault="00F44B5A" w:rsidP="00F44B5A">
      <w:pPr>
        <w:pStyle w:val="Heading3"/>
      </w:pPr>
      <w:bookmarkStart w:id="7" w:name="_Toc497980300"/>
      <w:bookmarkStart w:id="8" w:name="_Toc498571065"/>
      <w:r>
        <w:t>Summary Tables</w:t>
      </w:r>
      <w:bookmarkEnd w:id="7"/>
      <w:r w:rsidR="00E74E3A">
        <w:t>:  California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F44B5A" w:rsidRPr="0098404E" w14:paraId="335B524A" w14:textId="77777777" w:rsidTr="00CE4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58751D7" w14:textId="77777777" w:rsidR="00F44B5A" w:rsidRPr="0098404E" w:rsidRDefault="00F44B5A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F44B5A" w:rsidRPr="0098404E" w14:paraId="1DEF0D7B" w14:textId="77777777" w:rsidTr="00CE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5170A8AA" w14:textId="77777777" w:rsidR="00F44B5A" w:rsidRPr="0098404E" w:rsidRDefault="00F44B5A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6A035C0B" w14:textId="77777777" w:rsidR="00F44B5A" w:rsidRPr="0098404E" w:rsidRDefault="00F44B5A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F44B5A" w:rsidRPr="0098404E" w14:paraId="4651B1F9" w14:textId="77777777" w:rsidTr="00CE449D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76E4E858" w14:textId="01C8A31D" w:rsidR="00F44B5A" w:rsidRPr="0098404E" w:rsidRDefault="00F44B5A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44B5A">
              <w:rPr>
                <w:rFonts w:ascii="Calibri" w:eastAsia="Times New Roman" w:hAnsi="Calibri" w:cs="Times New Roman"/>
                <w:color w:val="000000"/>
              </w:rPr>
              <w:t xml:space="preserve"> 654,333 </w:t>
            </w:r>
          </w:p>
        </w:tc>
        <w:tc>
          <w:tcPr>
            <w:tcW w:w="2090" w:type="dxa"/>
            <w:noWrap/>
            <w:vAlign w:val="bottom"/>
            <w:hideMark/>
          </w:tcPr>
          <w:p w14:paraId="46B26ECE" w14:textId="1D192DEE" w:rsidR="00F44B5A" w:rsidRPr="0098404E" w:rsidRDefault="00F44B5A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4B5A">
              <w:rPr>
                <w:rFonts w:ascii="Calibri" w:eastAsia="Times New Roman" w:hAnsi="Calibri" w:cs="Times New Roman"/>
                <w:color w:val="000000"/>
              </w:rPr>
              <w:t xml:space="preserve"> 652,010 </w:t>
            </w:r>
          </w:p>
        </w:tc>
      </w:tr>
    </w:tbl>
    <w:p w14:paraId="47256ED4" w14:textId="77777777" w:rsidR="00F44B5A" w:rsidRPr="00C248D0" w:rsidRDefault="00F44B5A" w:rsidP="00F44B5A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F44B5A" w:rsidRPr="00D92700" w14:paraId="2BF195E7" w14:textId="77777777" w:rsidTr="00CE4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02199EE6" w14:textId="4BC80E45" w:rsidR="00F44B5A" w:rsidRPr="00D92700" w:rsidRDefault="00F44B5A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CE449D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F44B5A" w:rsidRPr="00D92700" w14:paraId="2E9E264F" w14:textId="77777777" w:rsidTr="00CE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6E10892C" w14:textId="77777777" w:rsidR="00F44B5A" w:rsidRPr="00D92700" w:rsidRDefault="00F44B5A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0B6B4E0E" w14:textId="77777777" w:rsidR="00F44B5A" w:rsidRPr="00D92700" w:rsidRDefault="00F44B5A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F44B5A" w:rsidRPr="00D92700" w14:paraId="2BDC128D" w14:textId="77777777" w:rsidTr="00CE449D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04307986" w14:textId="742B784F" w:rsidR="00F44B5A" w:rsidRPr="00D92700" w:rsidRDefault="00F44B5A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44B5A">
              <w:rPr>
                <w:rFonts w:ascii="Calibri" w:eastAsia="Times New Roman" w:hAnsi="Calibri" w:cs="Times New Roman"/>
                <w:color w:val="000000"/>
              </w:rPr>
              <w:t xml:space="preserve"> 121,617 </w:t>
            </w:r>
          </w:p>
        </w:tc>
        <w:tc>
          <w:tcPr>
            <w:tcW w:w="2055" w:type="dxa"/>
            <w:noWrap/>
            <w:vAlign w:val="bottom"/>
            <w:hideMark/>
          </w:tcPr>
          <w:p w14:paraId="52B2AE78" w14:textId="74CCF277" w:rsidR="00F44B5A" w:rsidRPr="00D92700" w:rsidRDefault="00F44B5A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4B5A">
              <w:rPr>
                <w:rFonts w:ascii="Calibri" w:eastAsia="Times New Roman" w:hAnsi="Calibri" w:cs="Times New Roman"/>
                <w:color w:val="000000"/>
              </w:rPr>
              <w:t xml:space="preserve"> 46,326 </w:t>
            </w:r>
          </w:p>
        </w:tc>
      </w:tr>
    </w:tbl>
    <w:p w14:paraId="34C086B6" w14:textId="77777777" w:rsidR="00F44B5A" w:rsidRDefault="00F44B5A" w:rsidP="00F44B5A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F44B5A" w:rsidRPr="0098404E" w14:paraId="7436F007" w14:textId="77777777" w:rsidTr="00CE4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58FCC5A3" w14:textId="77777777" w:rsidR="00F44B5A" w:rsidRPr="0098404E" w:rsidRDefault="00F44B5A" w:rsidP="00CE44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F44B5A" w:rsidRPr="0098404E" w14:paraId="4EFE6493" w14:textId="77777777" w:rsidTr="00CE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7AA3395F" w14:textId="77777777" w:rsidR="00F44B5A" w:rsidRPr="0098404E" w:rsidRDefault="00F44B5A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62DCE307" w14:textId="77777777" w:rsidR="00F44B5A" w:rsidRPr="0098404E" w:rsidRDefault="00F44B5A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F44B5A" w:rsidRPr="0098404E" w14:paraId="667DB1FA" w14:textId="77777777" w:rsidTr="00CE449D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10653DDD" w14:textId="6E10790D" w:rsidR="00F44B5A" w:rsidRPr="0098404E" w:rsidRDefault="00F44B5A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44B5A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2090" w:type="dxa"/>
            <w:noWrap/>
            <w:vAlign w:val="bottom"/>
            <w:hideMark/>
          </w:tcPr>
          <w:p w14:paraId="1702EE53" w14:textId="02D40097" w:rsidR="00F44B5A" w:rsidRPr="0098404E" w:rsidRDefault="00F44B5A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44B5A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</w:tr>
    </w:tbl>
    <w:p w14:paraId="3881C57E" w14:textId="77777777" w:rsidR="005D46B8" w:rsidRDefault="005D46B8" w:rsidP="004E3C84">
      <w:pPr>
        <w:pStyle w:val="Heading1"/>
      </w:pPr>
    </w:p>
    <w:p w14:paraId="25A31290" w14:textId="0A04B217" w:rsidR="001477A3" w:rsidRDefault="004E3C84" w:rsidP="004E3C84">
      <w:pPr>
        <w:pStyle w:val="Heading1"/>
      </w:pPr>
      <w:bookmarkStart w:id="9" w:name="_Toc498571066"/>
      <w:r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571067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48FA2C73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5B0E8A">
        <w:t>California</w:t>
      </w:r>
      <w:r w:rsidR="001C6B17">
        <w:t xml:space="preserve">.  The number of American Indians and Alaska Natives with health insurance rose from </w:t>
      </w:r>
      <w:r w:rsidR="00B807AD">
        <w:t>532,716</w:t>
      </w:r>
      <w:r w:rsidR="002F1437">
        <w:t xml:space="preserve"> </w:t>
      </w:r>
      <w:r w:rsidR="001C6B17">
        <w:t xml:space="preserve">in 2012 to </w:t>
      </w:r>
      <w:r w:rsidR="00D87DF8">
        <w:t>605,000 in 2016</w:t>
      </w:r>
      <w:r w:rsidR="001C6B17">
        <w:t xml:space="preserve">.  This </w:t>
      </w:r>
      <w:r w:rsidR="00D87DF8">
        <w:t>nearly 73</w:t>
      </w:r>
      <w:r w:rsidR="00AF2208">
        <w:t>,000</w:t>
      </w:r>
      <w:r w:rsidR="001C6B17">
        <w:t xml:space="preserve"> increase</w:t>
      </w:r>
      <w:r w:rsidR="00D87DF8">
        <w:t xml:space="preserve"> from 2012 to 2016</w:t>
      </w:r>
      <w:r w:rsidR="00D9026E">
        <w:t xml:space="preserve"> of</w:t>
      </w:r>
      <w:r w:rsidR="001C6B17">
        <w:t xml:space="preserve"> insured American Indians an</w:t>
      </w:r>
      <w:r w:rsidR="002F1437">
        <w:t xml:space="preserve">d Alaska Natives represents a </w:t>
      </w:r>
      <w:r w:rsidR="00D87DF8">
        <w:t>14</w:t>
      </w:r>
      <w:r w:rsidR="001C6B17">
        <w:t xml:space="preserve">% increase in the number insured.  </w:t>
      </w:r>
      <w:r w:rsidR="00D71C7B">
        <w:t>The number of insur</w:t>
      </w:r>
      <w:r w:rsidR="00931F45">
        <w:t xml:space="preserve">ed males </w:t>
      </w:r>
      <w:r w:rsidR="00D87DF8">
        <w:t>increased 15</w:t>
      </w:r>
      <w:r w:rsidR="00CE449D">
        <w:t>%</w:t>
      </w:r>
      <w:r w:rsidR="00D87DF8">
        <w:t xml:space="preserve"> </w:t>
      </w:r>
      <w:r w:rsidR="00B807AD">
        <w:t xml:space="preserve">and females </w:t>
      </w:r>
      <w:r w:rsidR="00D87DF8">
        <w:t>saw an 13</w:t>
      </w:r>
      <w:r w:rsidR="002F1437">
        <w:t xml:space="preserve">% </w:t>
      </w:r>
      <w:r w:rsidR="00AF2208">
        <w:t>increase</w:t>
      </w:r>
      <w:r w:rsidR="00D9026E">
        <w:t>.</w:t>
      </w:r>
      <w:r w:rsidR="00514F6B">
        <w:t xml:space="preserve"> </w:t>
      </w:r>
      <w:r w:rsidR="00B807AD">
        <w:t>52</w:t>
      </w:r>
      <w:r w:rsidR="00AF2208">
        <w:t xml:space="preserve">% of the total increase was male and females made up </w:t>
      </w:r>
      <w:r w:rsidR="00B807AD">
        <w:t>48</w:t>
      </w:r>
      <w:r w:rsidR="00AF2208">
        <w:t xml:space="preserve">% of the increase 2012-2015.  Females continue to make us a slight majority (52%) of all insured American Indians and Alaska Natives in </w:t>
      </w:r>
      <w:r w:rsidR="005B0E8A">
        <w:t>California</w:t>
      </w:r>
      <w:r w:rsidR="00AF2208">
        <w:t>.</w:t>
      </w:r>
    </w:p>
    <w:p w14:paraId="71DF4B17" w14:textId="77777777" w:rsidR="00D71C7B" w:rsidRDefault="00D71C7B"/>
    <w:tbl>
      <w:tblPr>
        <w:tblStyle w:val="GridTable6Colorful-Accent5"/>
        <w:tblW w:w="7735" w:type="dxa"/>
        <w:jc w:val="center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CE4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4A619A5E" w:rsidR="001C6B17" w:rsidRPr="001C6B17" w:rsidRDefault="00D87DF8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1C6B17"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D87DF8" w:rsidRPr="001C6B17" w14:paraId="67CF6982" w14:textId="77777777" w:rsidTr="00CE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D87DF8" w:rsidRPr="001C6B17" w:rsidRDefault="00D87DF8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5626B6A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685FB717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062705B0" w:rsidR="00D87DF8" w:rsidRPr="001C6B17" w:rsidRDefault="00D87DF8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2285F2EA" w:rsidR="00D87DF8" w:rsidRPr="001C6B17" w:rsidRDefault="00D87DF8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D87DF8" w:rsidRPr="001C6B17" w14:paraId="7E456BF4" w14:textId="77777777" w:rsidTr="00CE449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vAlign w:val="bottom"/>
            <w:hideMark/>
          </w:tcPr>
          <w:p w14:paraId="1B0F9797" w14:textId="7DD1C77F" w:rsidR="00D87DF8" w:rsidRPr="001C6B17" w:rsidRDefault="00D87DF8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249980D8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255,462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3C8E91E7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293,309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03CF8F7D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37,847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0A4480FA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15%</w:t>
            </w:r>
          </w:p>
        </w:tc>
      </w:tr>
      <w:tr w:rsidR="00D87DF8" w:rsidRPr="001C6B17" w14:paraId="250E28F9" w14:textId="77777777" w:rsidTr="00CE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vAlign w:val="bottom"/>
            <w:hideMark/>
          </w:tcPr>
          <w:p w14:paraId="484B60A2" w14:textId="7C5D2B13" w:rsidR="00D87DF8" w:rsidRPr="001C6B17" w:rsidRDefault="00D87DF8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39BF757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277,254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1BE55CAC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312,375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1019E969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35,121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4A66BCE3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13%</w:t>
            </w:r>
          </w:p>
        </w:tc>
      </w:tr>
      <w:tr w:rsidR="00D87DF8" w:rsidRPr="001C6B17" w14:paraId="1F11B996" w14:textId="77777777" w:rsidTr="00CE449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vAlign w:val="bottom"/>
            <w:hideMark/>
          </w:tcPr>
          <w:p w14:paraId="2B468D48" w14:textId="7F626C90" w:rsidR="00D87DF8" w:rsidRPr="001C6B17" w:rsidRDefault="00D87DF8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7ACD3E5F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532,716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31512A21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605,684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0F0B74FE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72,968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5870486D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14%</w:t>
            </w:r>
          </w:p>
        </w:tc>
      </w:tr>
      <w:tr w:rsidR="00D87DF8" w:rsidRPr="001C6B17" w14:paraId="2213119B" w14:textId="77777777" w:rsidTr="00CE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vAlign w:val="bottom"/>
            <w:hideMark/>
          </w:tcPr>
          <w:p w14:paraId="0609655F" w14:textId="652D58B1" w:rsidR="00D87DF8" w:rsidRPr="001C6B17" w:rsidRDefault="00D87DF8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5949BB1B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024509F4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42E81593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D87DF8" w:rsidRPr="001C6B17" w:rsidRDefault="00D87DF8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7DF8" w:rsidRPr="001C6B17" w14:paraId="37213359" w14:textId="77777777" w:rsidTr="00CE449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vAlign w:val="bottom"/>
            <w:hideMark/>
          </w:tcPr>
          <w:p w14:paraId="50973768" w14:textId="0957045E" w:rsidR="00D87DF8" w:rsidRPr="001C6B17" w:rsidRDefault="00D87DF8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2C82D17C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13F41C08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46A4EB25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D87DF8" w:rsidRPr="001C6B17" w:rsidRDefault="00D87DF8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58C2E84" w14:textId="77777777" w:rsidR="00AF2208" w:rsidRDefault="00AF2208"/>
    <w:p w14:paraId="3A4FE222" w14:textId="2051B9F0" w:rsidR="001477A3" w:rsidRDefault="00D87DF8" w:rsidP="00CE449D">
      <w:pPr>
        <w:jc w:val="center"/>
      </w:pPr>
      <w:bookmarkStart w:id="11" w:name="_Toc477079040"/>
      <w:r>
        <w:rPr>
          <w:noProof/>
        </w:rPr>
        <w:drawing>
          <wp:inline distT="0" distB="0" distL="0" distR="0" wp14:anchorId="7A56FA09" wp14:editId="379B8445">
            <wp:extent cx="5430161" cy="3149931"/>
            <wp:effectExtent l="0" t="0" r="571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65E6F1" w14:textId="77777777" w:rsidR="00D71C7B" w:rsidRPr="00D71C7B" w:rsidRDefault="00D71C7B" w:rsidP="00D71C7B"/>
    <w:p w14:paraId="06DC3EF3" w14:textId="2E203A1F" w:rsidR="004023E8" w:rsidRPr="00823A63" w:rsidRDefault="00266551" w:rsidP="00823A63">
      <w:pPr>
        <w:pStyle w:val="Heading2"/>
      </w:pPr>
      <w:bookmarkStart w:id="12" w:name="_Toc498571068"/>
      <w:r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38430E84" w14:textId="77777777" w:rsidR="001F7AE6" w:rsidRDefault="001F7AE6"/>
    <w:p w14:paraId="3E73A9A2" w14:textId="4F967B85" w:rsidR="001C5912" w:rsidRDefault="001F7AE6" w:rsidP="001F7AE6">
      <w:r>
        <w:t xml:space="preserve">The number of insured American Indians and Alaska Natives in </w:t>
      </w:r>
      <w:r w:rsidR="005B0E8A">
        <w:t>California</w:t>
      </w:r>
      <w:r>
        <w:t xml:space="preserve"> with access to IHS increased from </w:t>
      </w:r>
      <w:r w:rsidR="00B807AD">
        <w:t>47,348</w:t>
      </w:r>
      <w:r w:rsidR="00AF2208">
        <w:t xml:space="preserve"> in 2012 to </w:t>
      </w:r>
      <w:r w:rsidR="00D05AA4">
        <w:t>61,900 in 2016</w:t>
      </w:r>
      <w:r w:rsidR="00AF2208">
        <w:t xml:space="preserve">.  This represents an </w:t>
      </w:r>
      <w:r w:rsidR="00D05AA4">
        <w:t>31</w:t>
      </w:r>
      <w:r>
        <w:t>% incr</w:t>
      </w:r>
      <w:r w:rsidR="00D05AA4">
        <w:t>ease in insured patients at IHS-</w:t>
      </w:r>
      <w:r>
        <w:t>funded health programs.  Male insurance coverage i</w:t>
      </w:r>
      <w:r w:rsidR="00D05AA4">
        <w:t>ncreased by 44</w:t>
      </w:r>
      <w:r>
        <w:t xml:space="preserve">% while females </w:t>
      </w:r>
      <w:r w:rsidR="00D05AA4">
        <w:t>increased by 31%.  Males accounted for 62</w:t>
      </w:r>
      <w:r>
        <w:t>% o</w:t>
      </w:r>
      <w:r w:rsidR="002A6F84">
        <w:t xml:space="preserve">f </w:t>
      </w:r>
      <w:r w:rsidR="00D05AA4">
        <w:t>the 2012 to 2015 increase of 14,5</w:t>
      </w:r>
      <w:r w:rsidR="002A6F84">
        <w:t xml:space="preserve">00 </w:t>
      </w:r>
      <w:r>
        <w:t>newly insured.  Male</w:t>
      </w:r>
      <w:r w:rsidR="002A6F84">
        <w:t xml:space="preserve">s </w:t>
      </w:r>
      <w:r w:rsidR="00EA0130">
        <w:t xml:space="preserve">in 2016 </w:t>
      </w:r>
      <w:r w:rsidR="002A6F84">
        <w:t>make up 48</w:t>
      </w:r>
      <w:r w:rsidR="00AF2208">
        <w:t>% of the insured</w:t>
      </w:r>
      <w:r>
        <w:t xml:space="preserve"> and female e</w:t>
      </w:r>
      <w:r w:rsidR="00AF2208">
        <w:t>nrollment is</w:t>
      </w:r>
      <w:r w:rsidR="002A6F84">
        <w:t xml:space="preserve"> 52</w:t>
      </w:r>
      <w:r w:rsidR="00AF2208">
        <w:t>% of the total number insured.</w:t>
      </w:r>
    </w:p>
    <w:p w14:paraId="3A01F6EE" w14:textId="77777777" w:rsidR="001F7AE6" w:rsidRDefault="001F7AE6"/>
    <w:tbl>
      <w:tblPr>
        <w:tblStyle w:val="GridTable2-Accent1"/>
        <w:tblW w:w="7220" w:type="dxa"/>
        <w:tblInd w:w="72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1C5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2A81B13E" w:rsidR="00D9026E" w:rsidRPr="00D9026E" w:rsidRDefault="00D05AA4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="00D9026E"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 w:rsidR="00D9026E"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267E4" w:rsidRPr="00D9026E" w14:paraId="10AA4DCA" w14:textId="77777777" w:rsidTr="001C591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1267E4" w:rsidRPr="00D9026E" w:rsidRDefault="001267E4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36A32EB4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0F70B696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5307F249" w:rsidR="001267E4" w:rsidRPr="00D9026E" w:rsidRDefault="001267E4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19BE66C8" w:rsidR="001267E4" w:rsidRPr="00D9026E" w:rsidRDefault="001267E4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1267E4" w:rsidRPr="00D9026E" w14:paraId="55717F3B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1267E4" w:rsidRPr="00D9026E" w:rsidRDefault="001267E4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357B4742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20,855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4D9E40FE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29,934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12D4E050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9,079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305888D3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</w:tr>
      <w:tr w:rsidR="001267E4" w:rsidRPr="00D9026E" w14:paraId="362E6A7F" w14:textId="77777777" w:rsidTr="001C591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1267E4" w:rsidRPr="00D9026E" w:rsidRDefault="001267E4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5956493E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26,493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0F04B9B7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32,008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3AA09893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5,515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23B979BC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</w:tr>
      <w:tr w:rsidR="001267E4" w:rsidRPr="00D9026E" w14:paraId="71F349B8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1267E4" w:rsidRPr="00D9026E" w:rsidRDefault="001267E4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4C857C6E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47,348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73059B93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61,942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4183CCA4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14,594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79CF2A76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</w:tr>
      <w:tr w:rsidR="001267E4" w:rsidRPr="00D9026E" w14:paraId="24C51500" w14:textId="77777777" w:rsidTr="001C591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1267E4" w:rsidRPr="00D9026E" w:rsidRDefault="001267E4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6BDC73AF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076514E9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674BC3EA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1267E4" w:rsidRPr="00D9026E" w:rsidRDefault="001267E4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67E4" w:rsidRPr="00D9026E" w14:paraId="5D32B879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1267E4" w:rsidRPr="00D9026E" w:rsidRDefault="001267E4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24A6AFBD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7AF4B716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16D4B9F4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1267E4" w:rsidRPr="00D9026E" w:rsidRDefault="001267E4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79EE773D" w14:textId="77777777" w:rsidR="001267E4" w:rsidRDefault="001267E4"/>
    <w:p w14:paraId="2C6BF9F3" w14:textId="597CD4BB" w:rsidR="00812BEC" w:rsidRDefault="001267E4">
      <w:r>
        <w:rPr>
          <w:noProof/>
        </w:rPr>
        <w:drawing>
          <wp:inline distT="0" distB="0" distL="0" distR="0" wp14:anchorId="24F9E9B2" wp14:editId="457A1D33">
            <wp:extent cx="5347335" cy="3418840"/>
            <wp:effectExtent l="0" t="0" r="12065" b="1016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59EA029-1C56-4AE5-A05B-2A35BA9C1F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4309E9" w14:textId="77777777" w:rsidR="00AF2208" w:rsidRDefault="00AF2208"/>
    <w:p w14:paraId="5C134877" w14:textId="6AD996DE" w:rsidR="00C05904" w:rsidRDefault="00C05904" w:rsidP="00C05904">
      <w:bookmarkStart w:id="13" w:name="_Toc477079041"/>
    </w:p>
    <w:p w14:paraId="6ACFED3F" w14:textId="77777777" w:rsidR="00C05904" w:rsidRPr="00C05904" w:rsidRDefault="00C05904" w:rsidP="00C05904"/>
    <w:bookmarkEnd w:id="13"/>
    <w:p w14:paraId="0A745D34" w14:textId="06341F5F" w:rsidR="00196075" w:rsidRPr="00823A63" w:rsidRDefault="00D71C7B" w:rsidP="00823A63">
      <w:pPr>
        <w:pStyle w:val="Heading2"/>
      </w:pPr>
      <w:r>
        <w:br w:type="page"/>
      </w:r>
      <w:bookmarkStart w:id="14" w:name="_Toc498571069"/>
      <w:r w:rsidR="00196075">
        <w:lastRenderedPageBreak/>
        <w:t>Health Insurance</w:t>
      </w:r>
      <w:r w:rsidR="00400270">
        <w:t xml:space="preserve"> Coverage</w:t>
      </w:r>
      <w:r w:rsidR="00196075">
        <w:t xml:space="preserve"> for American Indians and Alaska Natives 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5E770040" w14:textId="30D47D52" w:rsidR="001F7AE6" w:rsidRDefault="001F7AE6" w:rsidP="001F7AE6">
      <w:r>
        <w:t xml:space="preserve">The </w:t>
      </w:r>
      <w:r w:rsidR="00B35722">
        <w:t xml:space="preserve">ACS estimates that there were </w:t>
      </w:r>
      <w:r w:rsidR="002A6F84">
        <w:t>485,000</w:t>
      </w:r>
      <w:r>
        <w:t xml:space="preserve"> </w:t>
      </w:r>
      <w:r w:rsidRPr="00EA0130">
        <w:rPr>
          <w:i/>
        </w:rPr>
        <w:t>insured</w:t>
      </w:r>
      <w:r>
        <w:t xml:space="preserve"> American Indians and Alaska Natives without access to IHS-funded health programs in 2012.  By 2015 this increased to </w:t>
      </w:r>
      <w:r w:rsidR="001C5912">
        <w:t>543</w:t>
      </w:r>
      <w:r w:rsidR="002A6F84">
        <w:t>,000</w:t>
      </w:r>
      <w:r>
        <w:t xml:space="preserve"> an increas</w:t>
      </w:r>
      <w:r w:rsidR="001C5912">
        <w:t>e of 12</w:t>
      </w:r>
      <w:r>
        <w:t xml:space="preserve">%.  This is a </w:t>
      </w:r>
      <w:r w:rsidR="001C5912">
        <w:t>smaller</w:t>
      </w:r>
      <w:r>
        <w:t xml:space="preserve"> increase than for those American Indians and Alaska Natives </w:t>
      </w:r>
      <w:r w:rsidRPr="004900C4">
        <w:rPr>
          <w:i/>
        </w:rPr>
        <w:t>with</w:t>
      </w:r>
      <w:r>
        <w:t xml:space="preserve"> acces</w:t>
      </w:r>
      <w:r w:rsidR="00B35722">
        <w:t>s to IHS.  Males increased by</w:t>
      </w:r>
      <w:r w:rsidR="00DF3F67">
        <w:t xml:space="preserve"> </w:t>
      </w:r>
      <w:r w:rsidR="001C5912">
        <w:t>28,7</w:t>
      </w:r>
      <w:r w:rsidR="00A23074">
        <w:t>00</w:t>
      </w:r>
      <w:r w:rsidR="00DF3F67">
        <w:t xml:space="preserve"> or</w:t>
      </w:r>
      <w:r w:rsidR="001C5912">
        <w:t xml:space="preserve"> 12</w:t>
      </w:r>
      <w:r>
        <w:t xml:space="preserve">% and they represent </w:t>
      </w:r>
      <w:r w:rsidR="001C5912">
        <w:t>49</w:t>
      </w:r>
      <w:r w:rsidR="00A23074">
        <w:t>%</w:t>
      </w:r>
      <w:r>
        <w:t xml:space="preserve"> of the total increase, compared to a</w:t>
      </w:r>
      <w:r w:rsidR="00DF3F67">
        <w:t>n</w:t>
      </w:r>
      <w:r>
        <w:t xml:space="preserve"> </w:t>
      </w:r>
      <w:r w:rsidR="00DF3F67">
        <w:t xml:space="preserve">increase of </w:t>
      </w:r>
      <w:r w:rsidR="001C5912">
        <w:t>29,600</w:t>
      </w:r>
      <w:r>
        <w:t xml:space="preserve"> for fe</w:t>
      </w:r>
      <w:r w:rsidR="00DF3F67">
        <w:t>males</w:t>
      </w:r>
      <w:r w:rsidR="001C5912">
        <w:t>---51</w:t>
      </w:r>
      <w:r w:rsidR="00A23074">
        <w:t>% of the increase from 2012 to 2015.  Females now represent 5</w:t>
      </w:r>
      <w:r w:rsidR="00EA0130">
        <w:t>2</w:t>
      </w:r>
      <w:r>
        <w:t>% of all insured fo</w:t>
      </w:r>
      <w:r w:rsidR="001C5912">
        <w:t>r those without access to IHS.</w:t>
      </w:r>
    </w:p>
    <w:p w14:paraId="7249A2A0" w14:textId="4E15E966" w:rsidR="00D71C7B" w:rsidRDefault="00D71C7B" w:rsidP="000E4EC4"/>
    <w:tbl>
      <w:tblPr>
        <w:tblStyle w:val="GridTable2-Accent1"/>
        <w:tblW w:w="7220" w:type="dxa"/>
        <w:tblInd w:w="4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1C5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51B4A3A1" w:rsidR="00D71C7B" w:rsidRPr="00196075" w:rsidRDefault="00FA726E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D71C7B"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015647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FA726E" w:rsidRPr="00196075" w14:paraId="30B5F623" w14:textId="77777777" w:rsidTr="001C591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FA726E" w:rsidRPr="00196075" w:rsidRDefault="00FA726E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604B4B89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10E53552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327409FC" w:rsidR="00FA726E" w:rsidRPr="00196075" w:rsidRDefault="00FA726E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7D143293" w:rsidR="00FA726E" w:rsidRPr="00196075" w:rsidRDefault="00FA726E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FA726E" w:rsidRPr="00196075" w14:paraId="636A6ACB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FA726E" w:rsidRPr="00196075" w:rsidRDefault="00FA726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1605F520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234,607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04F3D5B3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263,375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27F95E36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28,768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29E7D540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FA726E" w:rsidRPr="00196075" w14:paraId="30D7C225" w14:textId="77777777" w:rsidTr="001C591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FA726E" w:rsidRPr="00196075" w:rsidRDefault="00FA726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3F226699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250,761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5A40C786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280,367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029FB014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29,606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081041E8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FA726E" w:rsidRPr="00196075" w14:paraId="23E88848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FA726E" w:rsidRPr="00196075" w:rsidRDefault="00FA726E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5925DB6B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485,368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1494650D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543,742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2F4A03C0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58,374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28215CB0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12%</w:t>
            </w:r>
          </w:p>
        </w:tc>
      </w:tr>
      <w:tr w:rsidR="00FA726E" w:rsidRPr="00196075" w14:paraId="6827FA9E" w14:textId="77777777" w:rsidTr="001C591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FA726E" w:rsidRPr="00196075" w:rsidRDefault="00FA726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0CBC517E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1DD75198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126C4206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FA726E" w:rsidRPr="00196075" w:rsidRDefault="00FA726E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26E" w:rsidRPr="00196075" w14:paraId="598B9497" w14:textId="77777777" w:rsidTr="001C5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FA726E" w:rsidRPr="00196075" w:rsidRDefault="00FA726E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176F0FB8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0C91A05B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1E1575A2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FA726E" w:rsidRPr="00196075" w:rsidRDefault="00FA726E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3D7E9868" w14:textId="02348299" w:rsidR="00B37066" w:rsidRDefault="00FA726E" w:rsidP="000E4EC4">
      <w:r>
        <w:rPr>
          <w:noProof/>
        </w:rPr>
        <w:drawing>
          <wp:inline distT="0" distB="0" distL="0" distR="0" wp14:anchorId="3382D5D0" wp14:editId="27028066">
            <wp:extent cx="5804535" cy="3597192"/>
            <wp:effectExtent l="0" t="0" r="12065" b="1016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A55040E-3844-4A66-BC6C-CD86A12A9D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AC11E7" w14:textId="77777777" w:rsidR="00D71C7B" w:rsidRDefault="00D71C7B" w:rsidP="000E4EC4"/>
    <w:p w14:paraId="2F3795EC" w14:textId="5EE771EC" w:rsidR="00D71C7B" w:rsidRDefault="00D71C7B" w:rsidP="000E4EC4"/>
    <w:p w14:paraId="3EBCFECC" w14:textId="77777777" w:rsidR="00D71C7B" w:rsidRDefault="00D71C7B" w:rsidP="000E4EC4"/>
    <w:p w14:paraId="406EB522" w14:textId="359F848F" w:rsidR="00EA7190" w:rsidRDefault="00CC01B9" w:rsidP="0022247A">
      <w:pPr>
        <w:pStyle w:val="Heading1"/>
      </w:pPr>
      <w:bookmarkStart w:id="15" w:name="_Toc498571070"/>
      <w:r>
        <w:lastRenderedPageBreak/>
        <w:t xml:space="preserve">Uninsured </w:t>
      </w:r>
      <w:r w:rsidR="00487443">
        <w:t>American Indians and Alaska Natives</w:t>
      </w:r>
      <w:bookmarkEnd w:id="15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5B35EF03" w:rsidR="00487443" w:rsidRDefault="00701154" w:rsidP="00D71C7B">
      <w:pPr>
        <w:pStyle w:val="Heading2"/>
      </w:pPr>
      <w:bookmarkStart w:id="16" w:name="_Toc498571071"/>
      <w:r>
        <w:t>Uninsured American Indians and Alaska Natives</w:t>
      </w:r>
      <w:bookmarkEnd w:id="16"/>
      <w:r w:rsidR="00EA0130">
        <w:t>:  Total Population</w:t>
      </w:r>
    </w:p>
    <w:tbl>
      <w:tblPr>
        <w:tblStyle w:val="GridTable2-Accent1"/>
        <w:tblW w:w="729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EA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EA0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2BBEB311" w:rsidR="0022247A" w:rsidRPr="00196075" w:rsidRDefault="001C5912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="0022247A"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1C5912" w:rsidRPr="00196075" w14:paraId="164F92B2" w14:textId="77777777" w:rsidTr="00EA0130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1C5912" w:rsidRPr="00196075" w:rsidRDefault="001C5912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0941D5B2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1A7D34A8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2315EFE3" w:rsidR="001C5912" w:rsidRPr="00196075" w:rsidRDefault="001C5912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1A3162BD" w:rsidR="001C5912" w:rsidRPr="00196075" w:rsidRDefault="00EA0130" w:rsidP="00AD2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</w:t>
            </w:r>
            <w:r w:rsidR="001C5912">
              <w:rPr>
                <w:rFonts w:ascii="Calibri" w:eastAsia="Times New Roman" w:hAnsi="Calibri"/>
                <w:color w:val="000000"/>
              </w:rPr>
              <w:t>crease</w:t>
            </w:r>
          </w:p>
        </w:tc>
      </w:tr>
      <w:tr w:rsidR="001C5912" w:rsidRPr="00196075" w14:paraId="50FD4DB5" w14:textId="77777777" w:rsidTr="00EA0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1C5912" w:rsidRPr="00196075" w:rsidRDefault="001C5912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6E87670B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69,565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34B33FDC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27,846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7BECB2D9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(41,719)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1797126F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-60%</w:t>
            </w:r>
          </w:p>
        </w:tc>
      </w:tr>
      <w:tr w:rsidR="001C5912" w:rsidRPr="00196075" w14:paraId="1BEE3652" w14:textId="77777777" w:rsidTr="00EA013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1C5912" w:rsidRPr="00196075" w:rsidRDefault="001C5912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4DCE10D2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52,052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399B5F03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18,480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36BBCE2C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(33,572)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253A0A96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-64%</w:t>
            </w:r>
          </w:p>
        </w:tc>
      </w:tr>
      <w:tr w:rsidR="001C5912" w:rsidRPr="00196075" w14:paraId="7F42EDB5" w14:textId="77777777" w:rsidTr="00EA0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1C5912" w:rsidRPr="00196075" w:rsidRDefault="001C5912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3D6C82CC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121,617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3CF19063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46,326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2DDB79CA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(75,291)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2FC46E9B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-62%</w:t>
            </w:r>
          </w:p>
        </w:tc>
      </w:tr>
      <w:tr w:rsidR="001C5912" w:rsidRPr="00196075" w14:paraId="545D7F84" w14:textId="77777777" w:rsidTr="00EA013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1C5912" w:rsidRPr="00196075" w:rsidRDefault="001C5912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6976B268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6EC1CA10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75FF1F9D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1C5912" w:rsidRPr="00196075" w:rsidRDefault="001C5912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5912" w:rsidRPr="00196075" w14:paraId="11B1BBBF" w14:textId="77777777" w:rsidTr="00EA0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1C5912" w:rsidRPr="00196075" w:rsidRDefault="001C5912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009D9A42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0821A4D8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412C3439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1C5912" w:rsidRPr="00196075" w:rsidRDefault="001C5912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7F18963" w14:textId="47F8FF59" w:rsidR="00812BEC" w:rsidRDefault="00812BEC"/>
    <w:p w14:paraId="79EE4520" w14:textId="77777777" w:rsidR="00812BEC" w:rsidRDefault="00812BEC"/>
    <w:p w14:paraId="7B5C2FC4" w14:textId="77777777" w:rsidR="00DF3F67" w:rsidRDefault="00DF3F67" w:rsidP="001F7AE6"/>
    <w:p w14:paraId="1AA16BBD" w14:textId="4857009C" w:rsidR="00DF3F67" w:rsidRDefault="00F70173" w:rsidP="00EA0130">
      <w:pPr>
        <w:jc w:val="center"/>
      </w:pPr>
      <w:r>
        <w:rPr>
          <w:noProof/>
        </w:rPr>
        <w:drawing>
          <wp:inline distT="0" distB="0" distL="0" distR="0" wp14:anchorId="4CBF4394" wp14:editId="2D3612A7">
            <wp:extent cx="5728335" cy="3558540"/>
            <wp:effectExtent l="0" t="0" r="12065" b="2286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81F40AB-695D-41A7-8109-A6C703A2BE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14FF18" w14:textId="6EA12268" w:rsidR="008367A5" w:rsidRDefault="008367A5"/>
    <w:p w14:paraId="182FB32B" w14:textId="16A30438" w:rsidR="00F33645" w:rsidRDefault="00F33645" w:rsidP="00F33645">
      <w:r>
        <w:t xml:space="preserve">In California 121,617 American Indians and Alaska Natives were uninsured in 2012.  By 2015 this number had dropped to 46,300 uninsured, a 62% decrease. </w:t>
      </w:r>
      <w:r w:rsidR="00EA0130">
        <w:t xml:space="preserve">Uninsured females dropped by a similar 64% and males 60%.   </w:t>
      </w:r>
      <w:r>
        <w:t>Males represented 55% of the decrease in uninsured</w:t>
      </w:r>
      <w:r w:rsidR="00EA0130">
        <w:t xml:space="preserve"> since 2012</w:t>
      </w:r>
      <w:r>
        <w:t>.  Males made</w:t>
      </w:r>
      <w:r w:rsidR="00EA0130">
        <w:t xml:space="preserve"> up 60% of the uninsured in 2016</w:t>
      </w:r>
      <w:r>
        <w:t xml:space="preserve"> compared to 57% in 2012. </w:t>
      </w:r>
    </w:p>
    <w:p w14:paraId="2B1912C7" w14:textId="77777777" w:rsidR="00565431" w:rsidRDefault="00565431"/>
    <w:p w14:paraId="7BF21E60" w14:textId="77777777" w:rsidR="00565431" w:rsidRDefault="00565431"/>
    <w:p w14:paraId="66C74B69" w14:textId="5FE207E5" w:rsidR="001477A3" w:rsidRDefault="00AC6DE7" w:rsidP="00AC6DE7">
      <w:pPr>
        <w:pStyle w:val="Heading2"/>
      </w:pPr>
      <w:bookmarkStart w:id="17" w:name="_Toc498571072"/>
      <w:r>
        <w:lastRenderedPageBreak/>
        <w:t>Uninsured American Indians and Alaska Natives with Access to IHS</w:t>
      </w:r>
      <w:bookmarkEnd w:id="17"/>
      <w:r>
        <w:t xml:space="preserve"> </w:t>
      </w:r>
    </w:p>
    <w:tbl>
      <w:tblPr>
        <w:tblStyle w:val="GridTable2-Accent5"/>
        <w:tblW w:w="7380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A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A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6D86D3DA" w:rsidR="00B0299D" w:rsidRDefault="00693E7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487443"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 w:rsid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693E71" w:rsidRPr="00487443" w14:paraId="1FF05951" w14:textId="77777777" w:rsidTr="0085206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693E71" w:rsidRPr="00487443" w:rsidRDefault="00693E71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2B842F35" w14:textId="1D672006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103047FF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5CC7806A" w:rsidR="00693E71" w:rsidRPr="00487443" w:rsidRDefault="00693E71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E110BE9" w:rsidR="00693E71" w:rsidRPr="00487443" w:rsidRDefault="00693E71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693E71" w:rsidRPr="00487443" w14:paraId="36247AD7" w14:textId="77777777" w:rsidTr="0073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693E71" w:rsidRPr="00487443" w:rsidRDefault="00693E7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3C061032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11,021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02163466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7,221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715DFDDE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(3,800)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027DB7D0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-34%</w:t>
            </w:r>
          </w:p>
        </w:tc>
      </w:tr>
      <w:tr w:rsidR="00693E71" w:rsidRPr="00487443" w14:paraId="47D54961" w14:textId="77777777" w:rsidTr="0073682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693E71" w:rsidRPr="00487443" w:rsidRDefault="00693E7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489ABDD2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13,519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4E200C86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6,425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502E026F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(7,094)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3D8309AC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-52%</w:t>
            </w:r>
          </w:p>
        </w:tc>
      </w:tr>
      <w:tr w:rsidR="00693E71" w:rsidRPr="00487443" w14:paraId="6822D364" w14:textId="77777777" w:rsidTr="0073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693E71" w:rsidRPr="00487443" w:rsidRDefault="00693E7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75C1634D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24,540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2FF726A1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13,646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6D96FD81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(10,894)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0A0F8082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-44%</w:t>
            </w:r>
          </w:p>
        </w:tc>
      </w:tr>
      <w:tr w:rsidR="00693E71" w:rsidRPr="00487443" w14:paraId="3E616904" w14:textId="77777777" w:rsidTr="0073682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693E71" w:rsidRPr="00487443" w:rsidRDefault="00693E7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16F00331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5DAAA3F4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76954108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693E71" w:rsidRPr="00487443" w:rsidRDefault="00693E7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3E71" w:rsidRPr="00487443" w14:paraId="63A331DC" w14:textId="77777777" w:rsidTr="0073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693E71" w:rsidRPr="00487443" w:rsidRDefault="00693E7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52E4F75A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490FBE7B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57A269EE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693E71" w:rsidRPr="00487443" w:rsidRDefault="00693E7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7B85FDCE" w14:textId="77777777" w:rsidR="0071161F" w:rsidRDefault="0071161F"/>
    <w:p w14:paraId="68B8A2B1" w14:textId="66AD1619" w:rsidR="00812BEC" w:rsidRDefault="00693E71">
      <w:r>
        <w:rPr>
          <w:noProof/>
        </w:rPr>
        <w:drawing>
          <wp:inline distT="0" distB="0" distL="0" distR="0" wp14:anchorId="1935B0A0" wp14:editId="13881CFB">
            <wp:extent cx="5271135" cy="3939540"/>
            <wp:effectExtent l="0" t="0" r="12065" b="2286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B961F823-2A92-4342-8422-3F435D3549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043E7B" w14:textId="231E13FF" w:rsidR="00812BEC" w:rsidRDefault="00812BEC"/>
    <w:p w14:paraId="44950FCD" w14:textId="77777777" w:rsidR="00812BEC" w:rsidRDefault="00812BEC"/>
    <w:p w14:paraId="6C862388" w14:textId="4B52D98D" w:rsidR="001477A3" w:rsidRDefault="00AC6DE7" w:rsidP="00514F6B">
      <w:r>
        <w:t xml:space="preserve">The number of uninsured patients with access to IHS-funded health programs declined by </w:t>
      </w:r>
      <w:r w:rsidR="00693E71">
        <w:t>10,9</w:t>
      </w:r>
      <w:r w:rsidR="006158BF">
        <w:t>00</w:t>
      </w:r>
      <w:r w:rsidR="00B0299D">
        <w:t xml:space="preserve"> or </w:t>
      </w:r>
      <w:r w:rsidR="00693E71">
        <w:t>44</w:t>
      </w:r>
      <w:r>
        <w:t>% from 2</w:t>
      </w:r>
      <w:r w:rsidR="00F7647A">
        <w:t>0</w:t>
      </w:r>
      <w:r w:rsidR="00693E71">
        <w:t>12 to 2016</w:t>
      </w:r>
      <w:r w:rsidR="006158BF">
        <w:t xml:space="preserve">.  </w:t>
      </w:r>
      <w:r w:rsidR="00E93560">
        <w:t>The total number uninsured was 24,500 in 201</w:t>
      </w:r>
      <w:r w:rsidR="00693E71">
        <w:t>2 and declined to 13,600 in 2016</w:t>
      </w:r>
      <w:r w:rsidR="00E93560">
        <w:t xml:space="preserve">.  </w:t>
      </w:r>
      <w:r w:rsidR="00693E71">
        <w:t>Females made up 65</w:t>
      </w:r>
      <w:r>
        <w:t>% of the total decline as the number of f</w:t>
      </w:r>
      <w:r w:rsidR="00812BEC">
        <w:t xml:space="preserve">emales uninsured dropped by </w:t>
      </w:r>
      <w:r w:rsidR="00F33645">
        <w:t>6,4</w:t>
      </w:r>
      <w:r w:rsidR="006158BF">
        <w:t xml:space="preserve">00 </w:t>
      </w:r>
      <w:r>
        <w:t xml:space="preserve">from </w:t>
      </w:r>
      <w:r w:rsidR="006158BF">
        <w:t>13,500</w:t>
      </w:r>
      <w:r w:rsidR="003F5B24">
        <w:t xml:space="preserve"> in 2012 to 6,4</w:t>
      </w:r>
      <w:r w:rsidR="00F33645">
        <w:t>00 in 2016 a reduction of 52</w:t>
      </w:r>
      <w:r>
        <w:t xml:space="preserve">%. </w:t>
      </w:r>
      <w:r w:rsidR="00F33645">
        <w:t xml:space="preserve"> In 2015, males made up 53</w:t>
      </w:r>
      <w:r>
        <w:t>% of all uninsured at IHS-funded programs</w:t>
      </w:r>
      <w:r w:rsidR="00812BEC">
        <w:t xml:space="preserve">, </w:t>
      </w:r>
      <w:r w:rsidR="00F7647A">
        <w:t xml:space="preserve">up </w:t>
      </w:r>
      <w:r w:rsidR="00F33645">
        <w:t xml:space="preserve">since 2012 when </w:t>
      </w:r>
      <w:r w:rsidR="00EB77DF">
        <w:t>45</w:t>
      </w:r>
      <w:r w:rsidR="00F33645">
        <w:t>% of the uninsured were male</w:t>
      </w:r>
      <w:r w:rsidR="00F7647A">
        <w:t>.</w:t>
      </w:r>
    </w:p>
    <w:p w14:paraId="672F79E8" w14:textId="77777777" w:rsidR="00C4427E" w:rsidRDefault="00C4427E" w:rsidP="00514F6B"/>
    <w:p w14:paraId="32930AA6" w14:textId="77777777" w:rsidR="0071161F" w:rsidRDefault="0071161F" w:rsidP="00514F6B"/>
    <w:p w14:paraId="1755D1E7" w14:textId="292CB279" w:rsidR="00AC6DE7" w:rsidRPr="00F33645" w:rsidRDefault="004E3C84" w:rsidP="00F33645">
      <w:pPr>
        <w:pStyle w:val="Heading2"/>
      </w:pPr>
      <w:bookmarkStart w:id="18" w:name="_Toc498571073"/>
      <w:r>
        <w:t>Uninsured American Indians and Alaska Natives without Access to IHS</w:t>
      </w:r>
      <w:bookmarkEnd w:id="18"/>
      <w:r>
        <w:t xml:space="preserve"> </w:t>
      </w:r>
    </w:p>
    <w:tbl>
      <w:tblPr>
        <w:tblStyle w:val="GridTable2-Accent5"/>
        <w:tblW w:w="747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62B6474B" w14:textId="77777777" w:rsidTr="00F33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167FB133" w14:textId="3D0E8D5F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BDBB2F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78C2C2C0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9E3" w:rsidRPr="00A749E3" w14:paraId="1627509C" w14:textId="77777777" w:rsidTr="00F3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29E487AF" w:rsidR="00166B0D" w:rsidRDefault="00F33645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2012-2016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="00A749E3"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6A414D0F" w:rsidR="00A749E3" w:rsidRPr="00A749E3" w:rsidRDefault="00CE3EE2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F33645" w:rsidRPr="00A749E3" w14:paraId="23F18C70" w14:textId="77777777" w:rsidTr="00F3364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F33645" w:rsidRPr="00A749E3" w:rsidRDefault="00F33645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534A6B78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34AF343F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43768FA6" w:rsidR="00F33645" w:rsidRPr="00A749E3" w:rsidRDefault="00F33645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41E1180E" w:rsidR="00F33645" w:rsidRPr="00A749E3" w:rsidRDefault="00F33645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F33645" w:rsidRPr="00A749E3" w14:paraId="2EE96EBD" w14:textId="77777777" w:rsidTr="00F3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F33645" w:rsidRPr="00A749E3" w:rsidRDefault="00F33645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75B0D247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58,544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15EB609C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20,625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70D964AF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(37,919)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00EB0DF8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-65%</w:t>
            </w:r>
          </w:p>
        </w:tc>
      </w:tr>
      <w:tr w:rsidR="00F33645" w:rsidRPr="00A749E3" w14:paraId="7C851DB7" w14:textId="77777777" w:rsidTr="00F3364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F33645" w:rsidRPr="00A749E3" w:rsidRDefault="00F33645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568A9857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38,533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7BD88CB3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12,055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700815C9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(26,478)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75FA217E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-69%</w:t>
            </w:r>
          </w:p>
        </w:tc>
      </w:tr>
      <w:tr w:rsidR="00F33645" w:rsidRPr="00A749E3" w14:paraId="279A7AF6" w14:textId="77777777" w:rsidTr="00F3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F33645" w:rsidRPr="00A749E3" w:rsidRDefault="00F33645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1AE2A610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97,077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778476C9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32,680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0A983AFB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(64,397)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6E3A63D9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-66%</w:t>
            </w:r>
          </w:p>
        </w:tc>
      </w:tr>
      <w:tr w:rsidR="00F33645" w:rsidRPr="00A749E3" w14:paraId="2170AF6E" w14:textId="77777777" w:rsidTr="00F3364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F33645" w:rsidRPr="00A749E3" w:rsidRDefault="00F33645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400D9966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1D40BBED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6CDD6E1D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F33645" w:rsidRPr="00A749E3" w:rsidRDefault="00F33645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3645" w:rsidRPr="00A749E3" w14:paraId="4BB38CD6" w14:textId="77777777" w:rsidTr="00F33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F33645" w:rsidRPr="00A749E3" w:rsidRDefault="00F33645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05504BC2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16A0E3D2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751EA13B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F33645" w:rsidRPr="00A749E3" w:rsidRDefault="00F33645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163A3518" w14:textId="77777777" w:rsidR="008367A5" w:rsidRDefault="008367A5" w:rsidP="001477A3">
      <w:pPr>
        <w:jc w:val="both"/>
      </w:pPr>
    </w:p>
    <w:p w14:paraId="25F4A1E5" w14:textId="0D822406" w:rsidR="00812BEC" w:rsidRDefault="00F33645" w:rsidP="00F33645">
      <w:pPr>
        <w:jc w:val="center"/>
      </w:pPr>
      <w:r>
        <w:rPr>
          <w:noProof/>
        </w:rPr>
        <w:drawing>
          <wp:inline distT="0" distB="0" distL="0" distR="0" wp14:anchorId="54ACA3D7" wp14:editId="75ED75FF">
            <wp:extent cx="4966335" cy="3609340"/>
            <wp:effectExtent l="0" t="0" r="12065" b="2286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5FEDB474-BD8D-498C-BF7A-2E6D794B7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1F21C212" w14:textId="77777777" w:rsidR="00166B0D" w:rsidRDefault="00166B0D" w:rsidP="008367A5"/>
    <w:p w14:paraId="39139C07" w14:textId="4C5FF91A" w:rsidR="00812BEC" w:rsidRDefault="009F2AC1" w:rsidP="008367A5">
      <w:r>
        <w:t xml:space="preserve">The number of uninsured patients without access to IHS-funded health programs declined by </w:t>
      </w:r>
      <w:r w:rsidR="006A172C">
        <w:t>64,000 or 66% from 2012 to 2016</w:t>
      </w:r>
      <w:r>
        <w:t>. This compares</w:t>
      </w:r>
      <w:r w:rsidR="006A172C">
        <w:t xml:space="preserve"> with the smaller decrease of 44</w:t>
      </w:r>
      <w:r>
        <w:t xml:space="preserve">% for those American Indians and Alaska Natives with access to IHS-funded health programs.  Males, without access to IHS, </w:t>
      </w:r>
      <w:r w:rsidR="006A172C">
        <w:t>are more likely to be uninsured</w:t>
      </w:r>
      <w:r>
        <w:t xml:space="preserve"> </w:t>
      </w:r>
      <w:r w:rsidR="006A172C">
        <w:t>than females and they make up 63</w:t>
      </w:r>
      <w:r>
        <w:t>% of the total number uninsu</w:t>
      </w:r>
      <w:r w:rsidR="006A172C">
        <w:t>red.  Males, however, made up 59</w:t>
      </w:r>
      <w:r>
        <w:t xml:space="preserve">% of the total decline since 2012 as the number of males uninsured dropped by </w:t>
      </w:r>
      <w:r w:rsidR="002C4E07">
        <w:t>37,9</w:t>
      </w:r>
      <w:r w:rsidR="00E93560">
        <w:t>00</w:t>
      </w:r>
      <w:r w:rsidR="00AA7128">
        <w:t xml:space="preserve"> </w:t>
      </w:r>
      <w:r>
        <w:t xml:space="preserve">from </w:t>
      </w:r>
      <w:r w:rsidR="00E93560">
        <w:t>58,500</w:t>
      </w:r>
      <w:r>
        <w:t xml:space="preserve"> in 2012 to just </w:t>
      </w:r>
      <w:r w:rsidR="002C4E07">
        <w:t>20,600 in 2016, a reduction of 65</w:t>
      </w:r>
      <w:r>
        <w:t xml:space="preserve">%.  Female uninsured also declined, by </w:t>
      </w:r>
      <w:r w:rsidR="00270AA6">
        <w:t>26,4</w:t>
      </w:r>
      <w:r w:rsidR="00735FE1">
        <w:t>00</w:t>
      </w:r>
      <w:r>
        <w:t xml:space="preserve">, </w:t>
      </w:r>
      <w:r w:rsidR="00701154">
        <w:t xml:space="preserve">representing </w:t>
      </w:r>
      <w:r w:rsidR="00270AA6">
        <w:t>a 69</w:t>
      </w:r>
      <w:r>
        <w:t xml:space="preserve">% decline </w:t>
      </w:r>
      <w:r w:rsidR="00270AA6">
        <w:t>since</w:t>
      </w:r>
      <w:r>
        <w:t xml:space="preserve"> 2012.  </w:t>
      </w:r>
      <w:r w:rsidR="002B1178">
        <w:t>These are the largest reductions in uninsured in the nation.</w:t>
      </w:r>
    </w:p>
    <w:p w14:paraId="710E1037" w14:textId="20D1F6FE" w:rsidR="001477A3" w:rsidRDefault="001477A3" w:rsidP="00514F6B">
      <w:pPr>
        <w:pStyle w:val="Heading1"/>
      </w:pPr>
      <w:bookmarkStart w:id="19" w:name="_Toc498571074"/>
      <w:r>
        <w:lastRenderedPageBreak/>
        <w:t>Conclusion</w:t>
      </w:r>
      <w:bookmarkEnd w:id="19"/>
    </w:p>
    <w:p w14:paraId="2BA9978D" w14:textId="77777777" w:rsidR="001477A3" w:rsidRDefault="001477A3" w:rsidP="001477A3">
      <w:pPr>
        <w:jc w:val="both"/>
      </w:pPr>
    </w:p>
    <w:p w14:paraId="446B0262" w14:textId="04F8EEBB" w:rsidR="00DE5431" w:rsidRDefault="00735FE1" w:rsidP="00BB7129">
      <w:pPr>
        <w:jc w:val="both"/>
      </w:pPr>
      <w:r>
        <w:t xml:space="preserve">In </w:t>
      </w:r>
      <w:r w:rsidR="005B0E8A">
        <w:t>California</w:t>
      </w:r>
      <w:r>
        <w:t>, t</w:t>
      </w:r>
      <w:r w:rsidR="001477A3">
        <w:t xml:space="preserve">he ACA </w:t>
      </w:r>
      <w:r w:rsidR="00E20B24">
        <w:t>was</w:t>
      </w:r>
      <w:r>
        <w:t xml:space="preserve"> </w:t>
      </w:r>
      <w:r w:rsidR="001477A3">
        <w:t>successful in increasing the enrollment of American</w:t>
      </w:r>
      <w:r w:rsidR="00BB7129">
        <w:t xml:space="preserve"> Indian and Alaska Native </w:t>
      </w:r>
      <w:r w:rsidR="00514F6B">
        <w:t xml:space="preserve">in health insurance coverage. </w:t>
      </w:r>
      <w:r w:rsidR="00270AA6">
        <w:t xml:space="preserve">It’s 7% uninsured rate for American Indians and Alaska Natives is </w:t>
      </w:r>
      <w:r w:rsidR="002B1178">
        <w:t xml:space="preserve">one of </w:t>
      </w:r>
      <w:r w:rsidR="00270AA6">
        <w:t xml:space="preserve">the best in the nation.  </w:t>
      </w:r>
      <w:r w:rsidR="00514F6B">
        <w:t xml:space="preserve">One important finding of this analysis is that those American Indians and Alaska Natives with access to IHS-funded health programs saw </w:t>
      </w:r>
      <w:r w:rsidR="00DE5431">
        <w:t>larger increases in health insurance coverage</w:t>
      </w:r>
      <w:r w:rsidR="00514F6B">
        <w:t xml:space="preserve"> </w:t>
      </w:r>
      <w:r w:rsidR="00270AA6">
        <w:t>(31</w:t>
      </w:r>
      <w:r w:rsidR="00DE5431">
        <w:t>%)</w:t>
      </w:r>
      <w:r w:rsidR="006E794F">
        <w:t xml:space="preserve"> than</w:t>
      </w:r>
      <w:r w:rsidR="007C1477">
        <w:t xml:space="preserve"> those without access to IHS </w:t>
      </w:r>
      <w:r w:rsidR="00270AA6">
        <w:t>(12</w:t>
      </w:r>
      <w:r w:rsidR="006E794F">
        <w:t>%</w:t>
      </w:r>
      <w:r w:rsidR="004535A8">
        <w:t xml:space="preserve"> </w:t>
      </w:r>
      <w:r w:rsidR="00DE5431">
        <w:t>increase</w:t>
      </w:r>
      <w:r w:rsidR="006E794F">
        <w:t>)</w:t>
      </w:r>
      <w:r w:rsidR="00514F6B">
        <w:t xml:space="preserve">.  </w:t>
      </w:r>
      <w:r w:rsidR="00DE5431">
        <w:t>The decline in uninsured was reversed with those with</w:t>
      </w:r>
      <w:r w:rsidR="00270AA6">
        <w:t>out access to IHS declined by 66% compared to 44</w:t>
      </w:r>
      <w:r w:rsidR="00DE5431">
        <w:t xml:space="preserve">% for those with access to IHS. </w:t>
      </w:r>
      <w:r w:rsidR="00967DEC">
        <w:t xml:space="preserve"> The decline in the number of uninsured and </w:t>
      </w:r>
      <w:r w:rsidR="00E23097">
        <w:t xml:space="preserve">increase in the number </w:t>
      </w:r>
      <w:r w:rsidR="00270AA6">
        <w:t xml:space="preserve">of insured had positive revenue implications for California’s </w:t>
      </w:r>
      <w:r w:rsidR="00E23097">
        <w:t>Indian health programs</w:t>
      </w:r>
      <w:r w:rsidR="00270AA6">
        <w:t xml:space="preserve">. </w:t>
      </w:r>
      <w:r w:rsidR="00E23097">
        <w:t xml:space="preserve"> </w:t>
      </w:r>
      <w:r w:rsidR="00270AA6">
        <w:t>Since</w:t>
      </w:r>
      <w:r w:rsidR="00E23097">
        <w:t xml:space="preserve"> the majority</w:t>
      </w:r>
      <w:r w:rsidR="00270AA6">
        <w:t xml:space="preserve"> (87%)</w:t>
      </w:r>
      <w:r w:rsidR="00E23097">
        <w:t xml:space="preserve"> of the state’s Native population </w:t>
      </w:r>
      <w:r w:rsidR="00270AA6">
        <w:t xml:space="preserve">is </w:t>
      </w:r>
      <w:r w:rsidR="00E23097">
        <w:t>without access</w:t>
      </w:r>
      <w:r w:rsidR="00270AA6">
        <w:t xml:space="preserve"> to Indian Health Care Programs their benefit was their increased access to health care services that comes with insurance coverage.</w:t>
      </w:r>
      <w:r w:rsidR="002B1178">
        <w:t xml:space="preserve">  For those with access to IHS, their health programs now have more resources to support those programs.</w:t>
      </w:r>
    </w:p>
    <w:p w14:paraId="790A285B" w14:textId="77777777" w:rsidR="00270AA6" w:rsidRDefault="00270AA6" w:rsidP="00BB7129">
      <w:pPr>
        <w:jc w:val="both"/>
      </w:pPr>
    </w:p>
    <w:p w14:paraId="15BB2574" w14:textId="10E9A920" w:rsidR="00270AA6" w:rsidRDefault="00270AA6" w:rsidP="00270AA6">
      <w:pPr>
        <w:jc w:val="center"/>
      </w:pPr>
    </w:p>
    <w:p w14:paraId="4040DFBE" w14:textId="77777777" w:rsidR="00DE5431" w:rsidRDefault="00DE5431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035E92F8" w:rsidR="00FA0A3A" w:rsidRDefault="00FA0A3A">
      <w:r>
        <w:t>Years:  2012 and 2015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445280C6" w14:textId="272926A6" w:rsidR="004341C1" w:rsidRDefault="00FA0A3A" w:rsidP="004341C1">
      <w:r>
        <w:t>American Indian and Alaska Natives Alone and In-combination with other races.</w:t>
      </w:r>
      <w:r w:rsidR="004341C1" w:rsidRPr="004341C1">
        <w:t xml:space="preserve"> </w:t>
      </w:r>
    </w:p>
    <w:p w14:paraId="2C22F6EF" w14:textId="77777777" w:rsidR="004341C1" w:rsidRDefault="004341C1" w:rsidP="004341C1"/>
    <w:p w14:paraId="546801D8" w14:textId="77777777" w:rsidR="004341C1" w:rsidRDefault="004341C1" w:rsidP="004341C1">
      <w:pPr>
        <w:sectPr w:rsidR="004341C1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351B9F33" w14:textId="0BEF7E0C" w:rsidR="004341C1" w:rsidRDefault="004341C1" w:rsidP="004341C1">
      <w:pPr>
        <w:pStyle w:val="Heading3"/>
      </w:pPr>
      <w:bookmarkStart w:id="20" w:name="_Toc497894752"/>
      <w:bookmarkStart w:id="21" w:name="_Toc498571075"/>
      <w:r>
        <w:lastRenderedPageBreak/>
        <w:t>Change in Access to IHS from 2012 to 2016</w:t>
      </w:r>
      <w:bookmarkEnd w:id="20"/>
      <w:r w:rsidR="00E74E3A">
        <w:t>:  California</w:t>
      </w:r>
      <w:bookmarkEnd w:id="21"/>
    </w:p>
    <w:p w14:paraId="1D5A8A51" w14:textId="6A709929" w:rsidR="00E74E3A" w:rsidRPr="00E74E3A" w:rsidRDefault="00E74E3A" w:rsidP="00E74E3A">
      <w:r>
        <w:rPr>
          <w:noProof/>
        </w:rPr>
        <w:drawing>
          <wp:inline distT="0" distB="0" distL="0" distR="0" wp14:anchorId="7CB0B333" wp14:editId="64AFB0ED">
            <wp:extent cx="3886200" cy="2256790"/>
            <wp:effectExtent l="0" t="0" r="0" b="381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5B2FE199-2D95-408B-B4E5-31422DCB69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411B6" wp14:editId="432352E2">
            <wp:extent cx="3886200" cy="2256790"/>
            <wp:effectExtent l="0" t="0" r="0" b="381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65D9AA5-6209-4A1B-92DF-3EB7ECA835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DBB9F2" wp14:editId="3D2F7953">
            <wp:extent cx="3886200" cy="2331720"/>
            <wp:effectExtent l="0" t="0" r="0" b="508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32537" wp14:editId="614E3B18">
            <wp:extent cx="3886200" cy="2331720"/>
            <wp:effectExtent l="0" t="0" r="0" b="508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74E435D" w14:textId="77777777" w:rsidR="00E135DA" w:rsidRPr="00E135DA" w:rsidRDefault="00E135DA" w:rsidP="00E135DA"/>
    <w:p w14:paraId="7FB7384C" w14:textId="77777777" w:rsidR="004341C1" w:rsidRDefault="004341C1" w:rsidP="004341C1"/>
    <w:p w14:paraId="32F7B478" w14:textId="62F0D646" w:rsidR="004341C1" w:rsidRDefault="004341C1" w:rsidP="004341C1"/>
    <w:p w14:paraId="63D338FB" w14:textId="77777777" w:rsidR="004341C1" w:rsidRDefault="004341C1" w:rsidP="004341C1"/>
    <w:p w14:paraId="393DE9C6" w14:textId="77777777" w:rsidR="004341C1" w:rsidRDefault="004341C1" w:rsidP="004341C1"/>
    <w:p w14:paraId="44DF318D" w14:textId="4C592321" w:rsidR="004341C1" w:rsidRDefault="004341C1" w:rsidP="004341C1"/>
    <w:p w14:paraId="417CCF1B" w14:textId="77777777" w:rsidR="004341C1" w:rsidRDefault="004341C1" w:rsidP="004341C1"/>
    <w:p w14:paraId="6C221353" w14:textId="77777777" w:rsidR="004341C1" w:rsidRDefault="004341C1" w:rsidP="004341C1"/>
    <w:p w14:paraId="724C5328" w14:textId="77777777" w:rsidR="004341C1" w:rsidRDefault="004341C1" w:rsidP="004341C1">
      <w:pPr>
        <w:sectPr w:rsidR="004341C1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751F170B" w14:textId="77777777" w:rsidR="004341C1" w:rsidRDefault="004341C1" w:rsidP="004341C1"/>
    <w:p w14:paraId="5ADE96F3" w14:textId="12A591D1" w:rsidR="004341C1" w:rsidRDefault="004341C1" w:rsidP="004341C1"/>
    <w:p w14:paraId="2851E1F6" w14:textId="77777777" w:rsidR="004341C1" w:rsidRDefault="004341C1" w:rsidP="004341C1">
      <w:pPr>
        <w:pStyle w:val="Heading3"/>
      </w:pPr>
      <w:bookmarkStart w:id="22" w:name="_Toc497894753"/>
      <w:bookmarkStart w:id="23" w:name="_Toc498571076"/>
      <w:r>
        <w:t>Change in the Uninsured Rate for American Indians and Alaska Natives 2012 to 2016 in 20 States</w:t>
      </w:r>
      <w:bookmarkEnd w:id="22"/>
      <w:bookmarkEnd w:id="23"/>
    </w:p>
    <w:p w14:paraId="6856739B" w14:textId="77777777" w:rsidR="004341C1" w:rsidRDefault="004341C1" w:rsidP="004341C1"/>
    <w:p w14:paraId="579DE7F6" w14:textId="77777777" w:rsidR="004341C1" w:rsidRDefault="004341C1" w:rsidP="004341C1"/>
    <w:p w14:paraId="5FD89C5C" w14:textId="77777777" w:rsidR="004341C1" w:rsidRDefault="004341C1" w:rsidP="004341C1">
      <w:pPr>
        <w:sectPr w:rsidR="004341C1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55EC691C" wp14:editId="69893727">
            <wp:extent cx="8229600" cy="4612460"/>
            <wp:effectExtent l="0" t="0" r="0" b="107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BBD6766" w14:textId="6383477F" w:rsidR="00FA0A3A" w:rsidRDefault="00FA0A3A"/>
    <w:p w14:paraId="062528D3" w14:textId="77777777" w:rsidR="00366365" w:rsidRDefault="00366365"/>
    <w:p w14:paraId="18C46BD0" w14:textId="30C0B7ED" w:rsidR="00366365" w:rsidRDefault="00366365" w:rsidP="00366365"/>
    <w:p w14:paraId="3B823B0E" w14:textId="52E4F937" w:rsidR="00366365" w:rsidRDefault="00366365"/>
    <w:sectPr w:rsidR="00366365" w:rsidSect="00FE1A9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1CEB" w14:textId="77777777" w:rsidR="009F30B7" w:rsidRDefault="009F30B7" w:rsidP="00CB76AA">
      <w:r>
        <w:separator/>
      </w:r>
    </w:p>
  </w:endnote>
  <w:endnote w:type="continuationSeparator" w:id="0">
    <w:p w14:paraId="3E9A7A29" w14:textId="77777777" w:rsidR="009F30B7" w:rsidRDefault="009F30B7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6978" w14:textId="77777777" w:rsidR="004341C1" w:rsidRDefault="004341C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A0FF0" w14:textId="77777777" w:rsidR="004341C1" w:rsidRDefault="004341C1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D7A5" w14:textId="77777777" w:rsidR="004341C1" w:rsidRDefault="004341C1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0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D0C1F7" w14:textId="3AD3C90C" w:rsidR="004341C1" w:rsidRDefault="00823A63" w:rsidP="00FE1A92">
    <w:pPr>
      <w:pStyle w:val="Footer"/>
      <w:ind w:right="360"/>
      <w:jc w:val="center"/>
    </w:pPr>
    <w:r>
      <w:t>California</w:t>
    </w:r>
    <w:r w:rsidR="004341C1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AF198F" w:rsidRDefault="00AF198F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AF198F" w:rsidRDefault="00AF198F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AF198F" w:rsidRDefault="00AF198F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178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56AB746F" w:rsidR="00AF198F" w:rsidRDefault="005B0E8A" w:rsidP="00FE1A92">
    <w:pPr>
      <w:pStyle w:val="Footer"/>
      <w:ind w:right="360"/>
      <w:jc w:val="center"/>
    </w:pPr>
    <w:r>
      <w:t>California</w:t>
    </w:r>
    <w:r w:rsidR="00AF198F">
      <w:t>:  American Indian and Alaska Native Hea</w:t>
    </w:r>
    <w:r w:rsidR="00D87DF8">
      <w:t>lth Insurance Coverage 2012-2016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E2C4" w14:textId="77777777" w:rsidR="009F30B7" w:rsidRDefault="009F30B7" w:rsidP="00CB76AA">
      <w:r>
        <w:separator/>
      </w:r>
    </w:p>
  </w:footnote>
  <w:footnote w:type="continuationSeparator" w:id="0">
    <w:p w14:paraId="330C86D3" w14:textId="77777777" w:rsidR="009F30B7" w:rsidRDefault="009F30B7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838F" w14:textId="77777777" w:rsidR="004341C1" w:rsidRDefault="009F30B7">
    <w:pPr>
      <w:pStyle w:val="Header"/>
    </w:pPr>
    <w:r>
      <w:rPr>
        <w:noProof/>
      </w:rPr>
      <w:pict w14:anchorId="5015C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A1FD" w14:textId="77777777" w:rsidR="004341C1" w:rsidRDefault="009F30B7">
    <w:pPr>
      <w:pStyle w:val="Header"/>
    </w:pPr>
    <w:r>
      <w:rPr>
        <w:noProof/>
      </w:rPr>
      <w:pict w14:anchorId="6E862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33C9" w14:textId="77777777" w:rsidR="004341C1" w:rsidRDefault="009F30B7">
    <w:pPr>
      <w:pStyle w:val="Header"/>
    </w:pPr>
    <w:r>
      <w:rPr>
        <w:noProof/>
      </w:rPr>
      <w:pict w14:anchorId="2C103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4EC33489" w:rsidR="00AF198F" w:rsidRDefault="009F30B7">
    <w:pPr>
      <w:pStyle w:val="Header"/>
    </w:pPr>
    <w:r>
      <w:rPr>
        <w:noProof/>
      </w:rPr>
      <w:pict w14:anchorId="55EDB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1BEB52A" w:rsidR="00AF198F" w:rsidRDefault="009F30B7">
    <w:pPr>
      <w:pStyle w:val="Header"/>
    </w:pPr>
    <w:r>
      <w:rPr>
        <w:noProof/>
      </w:rPr>
      <w:pict w14:anchorId="1B33F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E35021C" w:rsidR="00AF198F" w:rsidRDefault="009F30B7">
    <w:pPr>
      <w:pStyle w:val="Header"/>
    </w:pPr>
    <w:r>
      <w:rPr>
        <w:noProof/>
      </w:rPr>
      <w:pict w14:anchorId="32B11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07647"/>
    <w:rsid w:val="0001441D"/>
    <w:rsid w:val="00015647"/>
    <w:rsid w:val="000252B7"/>
    <w:rsid w:val="000375BE"/>
    <w:rsid w:val="000709D5"/>
    <w:rsid w:val="00095341"/>
    <w:rsid w:val="00095B66"/>
    <w:rsid w:val="000C67ED"/>
    <w:rsid w:val="000E15B1"/>
    <w:rsid w:val="000E4EC4"/>
    <w:rsid w:val="000F753A"/>
    <w:rsid w:val="00107065"/>
    <w:rsid w:val="0010709B"/>
    <w:rsid w:val="0011590A"/>
    <w:rsid w:val="00117259"/>
    <w:rsid w:val="00124A39"/>
    <w:rsid w:val="00124D04"/>
    <w:rsid w:val="001267E4"/>
    <w:rsid w:val="0013292F"/>
    <w:rsid w:val="0013573F"/>
    <w:rsid w:val="001477A3"/>
    <w:rsid w:val="00166B0D"/>
    <w:rsid w:val="00186F32"/>
    <w:rsid w:val="00196075"/>
    <w:rsid w:val="001C5912"/>
    <w:rsid w:val="001C5F1D"/>
    <w:rsid w:val="001C668F"/>
    <w:rsid w:val="001C6B17"/>
    <w:rsid w:val="001C7A08"/>
    <w:rsid w:val="001D4B48"/>
    <w:rsid w:val="001F7AE6"/>
    <w:rsid w:val="00214B6B"/>
    <w:rsid w:val="0022247A"/>
    <w:rsid w:val="0025285B"/>
    <w:rsid w:val="00254165"/>
    <w:rsid w:val="0025695B"/>
    <w:rsid w:val="0026182A"/>
    <w:rsid w:val="00261B0B"/>
    <w:rsid w:val="00266551"/>
    <w:rsid w:val="00270AA6"/>
    <w:rsid w:val="002A4C3F"/>
    <w:rsid w:val="002A6533"/>
    <w:rsid w:val="002A6F84"/>
    <w:rsid w:val="002B1178"/>
    <w:rsid w:val="002C4E07"/>
    <w:rsid w:val="002E452A"/>
    <w:rsid w:val="002F108B"/>
    <w:rsid w:val="002F1437"/>
    <w:rsid w:val="00330228"/>
    <w:rsid w:val="00340A19"/>
    <w:rsid w:val="00363DC6"/>
    <w:rsid w:val="00366365"/>
    <w:rsid w:val="00372181"/>
    <w:rsid w:val="003D77DF"/>
    <w:rsid w:val="003E18B4"/>
    <w:rsid w:val="003F07AB"/>
    <w:rsid w:val="003F5B24"/>
    <w:rsid w:val="00400270"/>
    <w:rsid w:val="004023E8"/>
    <w:rsid w:val="00407ADA"/>
    <w:rsid w:val="00427D56"/>
    <w:rsid w:val="00431000"/>
    <w:rsid w:val="004341C1"/>
    <w:rsid w:val="00437DC4"/>
    <w:rsid w:val="004535A8"/>
    <w:rsid w:val="00464F5A"/>
    <w:rsid w:val="004762DB"/>
    <w:rsid w:val="00487443"/>
    <w:rsid w:val="00492B24"/>
    <w:rsid w:val="004B2A53"/>
    <w:rsid w:val="004E3C84"/>
    <w:rsid w:val="004F545F"/>
    <w:rsid w:val="004F73C1"/>
    <w:rsid w:val="00500411"/>
    <w:rsid w:val="00514F6B"/>
    <w:rsid w:val="00523378"/>
    <w:rsid w:val="0053160C"/>
    <w:rsid w:val="005341C7"/>
    <w:rsid w:val="00565431"/>
    <w:rsid w:val="005B00C6"/>
    <w:rsid w:val="005B0900"/>
    <w:rsid w:val="005B0E8A"/>
    <w:rsid w:val="005B4093"/>
    <w:rsid w:val="005C0104"/>
    <w:rsid w:val="005C63E4"/>
    <w:rsid w:val="005C7AA5"/>
    <w:rsid w:val="005D46B8"/>
    <w:rsid w:val="006158BF"/>
    <w:rsid w:val="00616660"/>
    <w:rsid w:val="00617557"/>
    <w:rsid w:val="006239EC"/>
    <w:rsid w:val="00623BEF"/>
    <w:rsid w:val="00632591"/>
    <w:rsid w:val="006325E0"/>
    <w:rsid w:val="00655F45"/>
    <w:rsid w:val="0066414F"/>
    <w:rsid w:val="00665C36"/>
    <w:rsid w:val="006701CA"/>
    <w:rsid w:val="006739C6"/>
    <w:rsid w:val="006807BF"/>
    <w:rsid w:val="00693E71"/>
    <w:rsid w:val="006A172C"/>
    <w:rsid w:val="006C2CAF"/>
    <w:rsid w:val="006E794F"/>
    <w:rsid w:val="006F6864"/>
    <w:rsid w:val="006F71A0"/>
    <w:rsid w:val="00701154"/>
    <w:rsid w:val="0071161F"/>
    <w:rsid w:val="00713907"/>
    <w:rsid w:val="0071726A"/>
    <w:rsid w:val="0072796A"/>
    <w:rsid w:val="00735FE1"/>
    <w:rsid w:val="00736820"/>
    <w:rsid w:val="007654F9"/>
    <w:rsid w:val="007A67DA"/>
    <w:rsid w:val="007B1B68"/>
    <w:rsid w:val="007C1477"/>
    <w:rsid w:val="007C4935"/>
    <w:rsid w:val="007D40A2"/>
    <w:rsid w:val="007D4512"/>
    <w:rsid w:val="007F26F8"/>
    <w:rsid w:val="00807966"/>
    <w:rsid w:val="00812BEC"/>
    <w:rsid w:val="00823A63"/>
    <w:rsid w:val="008367A5"/>
    <w:rsid w:val="00875623"/>
    <w:rsid w:val="008810E8"/>
    <w:rsid w:val="008908E3"/>
    <w:rsid w:val="008E22B9"/>
    <w:rsid w:val="008F1143"/>
    <w:rsid w:val="00902653"/>
    <w:rsid w:val="00927D81"/>
    <w:rsid w:val="00931F45"/>
    <w:rsid w:val="00940CDD"/>
    <w:rsid w:val="00951E7A"/>
    <w:rsid w:val="00967DEC"/>
    <w:rsid w:val="009815A0"/>
    <w:rsid w:val="00994CDB"/>
    <w:rsid w:val="009B3F99"/>
    <w:rsid w:val="009D1F03"/>
    <w:rsid w:val="009E490B"/>
    <w:rsid w:val="009F2AC1"/>
    <w:rsid w:val="009F30B7"/>
    <w:rsid w:val="00A16828"/>
    <w:rsid w:val="00A23074"/>
    <w:rsid w:val="00A645BA"/>
    <w:rsid w:val="00A749E3"/>
    <w:rsid w:val="00A74F06"/>
    <w:rsid w:val="00A77C99"/>
    <w:rsid w:val="00A91A15"/>
    <w:rsid w:val="00A92611"/>
    <w:rsid w:val="00AA2B99"/>
    <w:rsid w:val="00AA7128"/>
    <w:rsid w:val="00AC13A2"/>
    <w:rsid w:val="00AC63B4"/>
    <w:rsid w:val="00AC6DE7"/>
    <w:rsid w:val="00AD2BE3"/>
    <w:rsid w:val="00AE1F1B"/>
    <w:rsid w:val="00AF14F8"/>
    <w:rsid w:val="00AF198F"/>
    <w:rsid w:val="00AF2208"/>
    <w:rsid w:val="00AF7FF6"/>
    <w:rsid w:val="00B020CF"/>
    <w:rsid w:val="00B0299D"/>
    <w:rsid w:val="00B13D8E"/>
    <w:rsid w:val="00B16379"/>
    <w:rsid w:val="00B24714"/>
    <w:rsid w:val="00B35722"/>
    <w:rsid w:val="00B37066"/>
    <w:rsid w:val="00B4581D"/>
    <w:rsid w:val="00B73999"/>
    <w:rsid w:val="00B80707"/>
    <w:rsid w:val="00B807AD"/>
    <w:rsid w:val="00BB0EB2"/>
    <w:rsid w:val="00BB7129"/>
    <w:rsid w:val="00BC3F40"/>
    <w:rsid w:val="00C05904"/>
    <w:rsid w:val="00C32097"/>
    <w:rsid w:val="00C3488C"/>
    <w:rsid w:val="00C4427E"/>
    <w:rsid w:val="00C937EC"/>
    <w:rsid w:val="00CA72F7"/>
    <w:rsid w:val="00CB5296"/>
    <w:rsid w:val="00CB76AA"/>
    <w:rsid w:val="00CC01B9"/>
    <w:rsid w:val="00CC6238"/>
    <w:rsid w:val="00CD1E2C"/>
    <w:rsid w:val="00CE1959"/>
    <w:rsid w:val="00CE3EE2"/>
    <w:rsid w:val="00CE449D"/>
    <w:rsid w:val="00CE50A1"/>
    <w:rsid w:val="00CF77FE"/>
    <w:rsid w:val="00D003DE"/>
    <w:rsid w:val="00D05AA4"/>
    <w:rsid w:val="00D24DB7"/>
    <w:rsid w:val="00D35B11"/>
    <w:rsid w:val="00D71C7B"/>
    <w:rsid w:val="00D82A9B"/>
    <w:rsid w:val="00D8763A"/>
    <w:rsid w:val="00D87DF8"/>
    <w:rsid w:val="00D9026E"/>
    <w:rsid w:val="00DC2160"/>
    <w:rsid w:val="00DD4827"/>
    <w:rsid w:val="00DE5431"/>
    <w:rsid w:val="00DF3F67"/>
    <w:rsid w:val="00DF4272"/>
    <w:rsid w:val="00DF54AD"/>
    <w:rsid w:val="00E135DA"/>
    <w:rsid w:val="00E20B24"/>
    <w:rsid w:val="00E23097"/>
    <w:rsid w:val="00E26A15"/>
    <w:rsid w:val="00E309E1"/>
    <w:rsid w:val="00E5241F"/>
    <w:rsid w:val="00E5459C"/>
    <w:rsid w:val="00E74E3A"/>
    <w:rsid w:val="00E74EA8"/>
    <w:rsid w:val="00E751E9"/>
    <w:rsid w:val="00E84F16"/>
    <w:rsid w:val="00E93560"/>
    <w:rsid w:val="00EA0130"/>
    <w:rsid w:val="00EA7190"/>
    <w:rsid w:val="00EB77DF"/>
    <w:rsid w:val="00EB7F9F"/>
    <w:rsid w:val="00EE6E35"/>
    <w:rsid w:val="00F04F86"/>
    <w:rsid w:val="00F0727E"/>
    <w:rsid w:val="00F145EA"/>
    <w:rsid w:val="00F33645"/>
    <w:rsid w:val="00F36279"/>
    <w:rsid w:val="00F36746"/>
    <w:rsid w:val="00F44B5A"/>
    <w:rsid w:val="00F50D08"/>
    <w:rsid w:val="00F56EB6"/>
    <w:rsid w:val="00F70173"/>
    <w:rsid w:val="00F7647A"/>
    <w:rsid w:val="00FA0A3A"/>
    <w:rsid w:val="00FA726E"/>
    <w:rsid w:val="00FC6454"/>
    <w:rsid w:val="00FC7CE1"/>
    <w:rsid w:val="00FE1A92"/>
    <w:rsid w:val="00FE2D8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1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2F1437"/>
  </w:style>
  <w:style w:type="character" w:customStyle="1" w:styleId="FootnoteTextChar">
    <w:name w:val="Footnote Text Char"/>
    <w:basedOn w:val="DefaultParagraphFont"/>
    <w:link w:val="FootnoteText"/>
    <w:uiPriority w:val="99"/>
    <w:rsid w:val="002F1437"/>
  </w:style>
  <w:style w:type="character" w:styleId="FootnoteReference">
    <w:name w:val="footnote reference"/>
    <w:basedOn w:val="DefaultParagraphFont"/>
    <w:uiPriority w:val="99"/>
    <w:unhideWhenUsed/>
    <w:rsid w:val="002F143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341C1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F44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NIHB%202017%20File%202016%20Data%20Release%20%20compare%202012%20and%202016%20compare%20sex%20ihs%20aian%20age%20Medicaid%20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NIHB%202017%20File%202016%20Data%20Release%20%20compare%202012%20and%202016%20compare%20sex%20ihs%20aian%20age%20Medicaid%20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NIHB%202017%20File%202016%20Data%20Release%20%20compare%202012%20and%202016%20compare%20sex%20ihs%20aian%20age%20Medicaid%20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NIHB%202017%20File%202016%20Data%20Release%20%20compare%202012%20and%202016%20compare%20sex%20ihs%20aian%20age%20Medicaid%20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NIHB%202017%20File%202016%20Data%20Release%20%20compare%202012%20and%202016%20compare%20sex%20ihs%20aian%20age%20Medicaid%20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NIHB%202017%20File%202016%20Data%20Release%20%20compare%202012%20and%202016%20compare%20sex%20ihs%20aian%20age%20Medicaid%20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</a:t>
            </a:r>
            <a:r>
              <a:rPr lang="en-US" baseline="0"/>
              <a:t> to 2016 Health Insurance Coverage  Total Population AIANs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'CA3'!$M$27:$M$29</c:f>
              <c:numCache>
                <c:formatCode>_(* #,##0_);_(* \(#,##0\);_(* "-"??_);_(@_)</c:formatCode>
                <c:ptCount val="3"/>
                <c:pt idx="0">
                  <c:v>255462</c:v>
                </c:pt>
                <c:pt idx="1">
                  <c:v>277254</c:v>
                </c:pt>
                <c:pt idx="2">
                  <c:v>532716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C-604E-A984-DD7376494DF2}"/>
            </c:ext>
          </c:extLst>
        </c:ser>
        <c:ser>
          <c:idx val="1"/>
          <c:order val="1"/>
          <c:tx>
            <c:strRef>
              <c:f>'CA3'!$N$26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'CA3'!$N$27:$N$29</c:f>
              <c:numCache>
                <c:formatCode>_(* #,##0_);_(* \(#,##0\);_(* "-"??_);_(@_)</c:formatCode>
                <c:ptCount val="3"/>
                <c:pt idx="0">
                  <c:v>293309</c:v>
                </c:pt>
                <c:pt idx="1">
                  <c:v>312375</c:v>
                </c:pt>
                <c:pt idx="2">
                  <c:v>605684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4C-604E-A984-DD7376494DF2}"/>
            </c:ext>
          </c:extLst>
        </c:ser>
        <c:ser>
          <c:idx val="2"/>
          <c:order val="2"/>
          <c:tx>
            <c:strRef>
              <c:f>'CA3'!$O$26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'CA3'!$O$27:$O$29</c:f>
              <c:numCache>
                <c:formatCode>_(* #,##0_);_(* \(#,##0\);_(* "-"??_);_(@_)</c:formatCode>
                <c:ptCount val="3"/>
                <c:pt idx="0">
                  <c:v>37847</c:v>
                </c:pt>
                <c:pt idx="1">
                  <c:v>35121</c:v>
                </c:pt>
                <c:pt idx="2">
                  <c:v>72968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4C-604E-A984-DD7376494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339080"/>
        <c:axId val="634334768"/>
      </c:barChart>
      <c:catAx>
        <c:axId val="63433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4768"/>
        <c:crosses val="autoZero"/>
        <c:auto val="1"/>
        <c:lblAlgn val="ctr"/>
        <c:lblOffset val="100"/>
        <c:noMultiLvlLbl val="0"/>
      </c:catAx>
      <c:valAx>
        <c:axId val="63433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9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'CA3'!$AS$52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59F-B34D-AE2B-008EB622C3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59F-B34D-AE2B-008EB622C3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'CA3'!$AS$53:$AS$54</c:f>
              <c:numCache>
                <c:formatCode>_(* #,##0_);_(* \(#,##0\);_(* "-"??_);_(@_)</c:formatCode>
                <c:ptCount val="2"/>
                <c:pt idx="0">
                  <c:v>75588</c:v>
                </c:pt>
                <c:pt idx="1">
                  <c:v>576422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9F-B34D-AE2B-008EB622C32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07-7447-B0EC-92D464E07F5B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07-7447-B0EC-92D464E07F5B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07-7447-B0EC-92D464E07F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07-7447-B0EC-92D464E07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272224"/>
        <c:axId val="940268696"/>
      </c:barChart>
      <c:catAx>
        <c:axId val="94027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8696"/>
        <c:crossesAt val="0"/>
        <c:auto val="1"/>
        <c:lblAlgn val="ctr"/>
        <c:lblOffset val="100"/>
        <c:noMultiLvlLbl val="0"/>
      </c:catAx>
      <c:valAx>
        <c:axId val="940268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'CA3'!$M$40:$M$42</c:f>
              <c:numCache>
                <c:formatCode>_(* #,##0_);_(* \(#,##0\);_(* "-"??_);_(@_)</c:formatCode>
                <c:ptCount val="3"/>
                <c:pt idx="0">
                  <c:v>20855</c:v>
                </c:pt>
                <c:pt idx="1">
                  <c:v>26493</c:v>
                </c:pt>
                <c:pt idx="2">
                  <c:v>47348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0-41EB-94D5-9314A0FA12C1}"/>
            </c:ext>
          </c:extLst>
        </c:ser>
        <c:ser>
          <c:idx val="1"/>
          <c:order val="1"/>
          <c:tx>
            <c:strRef>
              <c:f>'CA3'!$N$39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'CA3'!$N$40:$N$42</c:f>
              <c:numCache>
                <c:formatCode>_(* #,##0_);_(* \(#,##0\);_(* "-"??_);_(@_)</c:formatCode>
                <c:ptCount val="3"/>
                <c:pt idx="0">
                  <c:v>29934</c:v>
                </c:pt>
                <c:pt idx="1">
                  <c:v>32008</c:v>
                </c:pt>
                <c:pt idx="2">
                  <c:v>61942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E0-41EB-94D5-9314A0FA12C1}"/>
            </c:ext>
          </c:extLst>
        </c:ser>
        <c:ser>
          <c:idx val="2"/>
          <c:order val="2"/>
          <c:tx>
            <c:strRef>
              <c:f>'CA3'!$O$39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'CA3'!$O$40:$O$42</c:f>
              <c:numCache>
                <c:formatCode>_(* #,##0_);_(* \(#,##0\);_(* "-"??_);_(@_)</c:formatCode>
                <c:ptCount val="3"/>
                <c:pt idx="0">
                  <c:v>9079</c:v>
                </c:pt>
                <c:pt idx="1">
                  <c:v>5515</c:v>
                </c:pt>
                <c:pt idx="2">
                  <c:v>14594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E0-41EB-94D5-9314A0FA1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339864"/>
        <c:axId val="634341040"/>
      </c:barChart>
      <c:catAx>
        <c:axId val="63433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41040"/>
        <c:crosses val="autoZero"/>
        <c:auto val="1"/>
        <c:lblAlgn val="ctr"/>
        <c:lblOffset val="100"/>
        <c:noMultiLvlLbl val="0"/>
      </c:catAx>
      <c:valAx>
        <c:axId val="63434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'CA3'!$M$53:$M$55</c:f>
              <c:numCache>
                <c:formatCode>_(* #,##0_);_(* \(#,##0\);_(* "-"??_);_(@_)</c:formatCode>
                <c:ptCount val="3"/>
                <c:pt idx="0">
                  <c:v>234607</c:v>
                </c:pt>
                <c:pt idx="1">
                  <c:v>250761</c:v>
                </c:pt>
                <c:pt idx="2">
                  <c:v>485368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8-45DE-9FCF-5258ED4E528D}"/>
            </c:ext>
          </c:extLst>
        </c:ser>
        <c:ser>
          <c:idx val="1"/>
          <c:order val="1"/>
          <c:tx>
            <c:strRef>
              <c:f>'CA3'!$N$52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'CA3'!$N$53:$N$55</c:f>
              <c:numCache>
                <c:formatCode>_(* #,##0_);_(* \(#,##0\);_(* "-"??_);_(@_)</c:formatCode>
                <c:ptCount val="3"/>
                <c:pt idx="0">
                  <c:v>263375</c:v>
                </c:pt>
                <c:pt idx="1">
                  <c:v>280367</c:v>
                </c:pt>
                <c:pt idx="2">
                  <c:v>543742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8-45DE-9FCF-5258ED4E528D}"/>
            </c:ext>
          </c:extLst>
        </c:ser>
        <c:ser>
          <c:idx val="2"/>
          <c:order val="2"/>
          <c:tx>
            <c:strRef>
              <c:f>'CA3'!$O$52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'CA3'!$O$53:$O$55</c:f>
              <c:numCache>
                <c:formatCode>_(* #,##0_);_(* \(#,##0\);_(* "-"??_);_(@_)</c:formatCode>
                <c:ptCount val="3"/>
                <c:pt idx="0">
                  <c:v>28768</c:v>
                </c:pt>
                <c:pt idx="1">
                  <c:v>29606</c:v>
                </c:pt>
                <c:pt idx="2">
                  <c:v>58374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F8-45DE-9FCF-5258ED4E52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335552"/>
        <c:axId val="634340256"/>
      </c:barChart>
      <c:catAx>
        <c:axId val="63433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40256"/>
        <c:crosses val="autoZero"/>
        <c:auto val="1"/>
        <c:lblAlgn val="ctr"/>
        <c:lblOffset val="100"/>
        <c:noMultiLvlLbl val="0"/>
      </c:catAx>
      <c:valAx>
        <c:axId val="63434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33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'CA3'!$M$67:$M$69</c:f>
              <c:numCache>
                <c:formatCode>_(* #,##0_);_(* \(#,##0\);_(* "-"??_);_(@_)</c:formatCode>
                <c:ptCount val="3"/>
                <c:pt idx="0">
                  <c:v>69565</c:v>
                </c:pt>
                <c:pt idx="1">
                  <c:v>52052</c:v>
                </c:pt>
                <c:pt idx="2">
                  <c:v>121617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C-4C21-89E4-A06EA459F895}"/>
            </c:ext>
          </c:extLst>
        </c:ser>
        <c:ser>
          <c:idx val="1"/>
          <c:order val="1"/>
          <c:tx>
            <c:strRef>
              <c:f>'CA3'!$N$66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'CA3'!$N$67:$N$69</c:f>
              <c:numCache>
                <c:formatCode>_(* #,##0_);_(* \(#,##0\);_(* "-"??_);_(@_)</c:formatCode>
                <c:ptCount val="3"/>
                <c:pt idx="0">
                  <c:v>27846</c:v>
                </c:pt>
                <c:pt idx="1">
                  <c:v>18480</c:v>
                </c:pt>
                <c:pt idx="2">
                  <c:v>46326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DC-4C21-89E4-A06EA459F895}"/>
            </c:ext>
          </c:extLst>
        </c:ser>
        <c:ser>
          <c:idx val="2"/>
          <c:order val="2"/>
          <c:tx>
            <c:strRef>
              <c:f>'CA3'!$O$66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'CA3'!$O$67:$O$69</c:f>
              <c:numCache>
                <c:formatCode>_(* #,##0_);_(* \(#,##0\);_(* "-"??_);_(@_)</c:formatCode>
                <c:ptCount val="3"/>
                <c:pt idx="0">
                  <c:v>-41719</c:v>
                </c:pt>
                <c:pt idx="1">
                  <c:v>-33572</c:v>
                </c:pt>
                <c:pt idx="2">
                  <c:v>-75291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DC-4C21-89E4-A06EA459F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9872"/>
        <c:axId val="940267912"/>
      </c:barChart>
      <c:catAx>
        <c:axId val="94026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7912"/>
        <c:crosses val="autoZero"/>
        <c:auto val="1"/>
        <c:lblAlgn val="ctr"/>
        <c:lblOffset val="100"/>
        <c:noMultiLvlLbl val="0"/>
      </c:catAx>
      <c:valAx>
        <c:axId val="94026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'CA3'!$M$79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'CA3'!$M$80:$M$82</c:f>
              <c:numCache>
                <c:formatCode>_(* #,##0_);_(* \(#,##0\);_(* "-"??_);_(@_)</c:formatCode>
                <c:ptCount val="3"/>
                <c:pt idx="0">
                  <c:v>11021</c:v>
                </c:pt>
                <c:pt idx="1">
                  <c:v>13519</c:v>
                </c:pt>
                <c:pt idx="2">
                  <c:v>24540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2B-4147-BE50-8B5783F7E3EB}"/>
            </c:ext>
          </c:extLst>
        </c:ser>
        <c:ser>
          <c:idx val="1"/>
          <c:order val="1"/>
          <c:tx>
            <c:strRef>
              <c:f>'CA3'!$N$79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'CA3'!$N$80:$N$82</c:f>
              <c:numCache>
                <c:formatCode>_(* #,##0_);_(* \(#,##0\);_(* "-"??_);_(@_)</c:formatCode>
                <c:ptCount val="3"/>
                <c:pt idx="0">
                  <c:v>7221</c:v>
                </c:pt>
                <c:pt idx="1">
                  <c:v>6425</c:v>
                </c:pt>
                <c:pt idx="2">
                  <c:v>13646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2B-4147-BE50-8B5783F7E3EB}"/>
            </c:ext>
          </c:extLst>
        </c:ser>
        <c:ser>
          <c:idx val="2"/>
          <c:order val="2"/>
          <c:tx>
            <c:strRef>
              <c:f>'CA3'!$O$79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'CA3'!$O$80:$O$82</c:f>
              <c:numCache>
                <c:formatCode>_(* #,##0_);_(* \(#,##0\);_(* "-"??_);_(@_)</c:formatCode>
                <c:ptCount val="3"/>
                <c:pt idx="0">
                  <c:v>-3800</c:v>
                </c:pt>
                <c:pt idx="1">
                  <c:v>-7094</c:v>
                </c:pt>
                <c:pt idx="2">
                  <c:v>-10894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2B-4147-BE50-8B5783F7E3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3008"/>
        <c:axId val="940273400"/>
      </c:barChart>
      <c:catAx>
        <c:axId val="94027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3400"/>
        <c:crosses val="autoZero"/>
        <c:auto val="1"/>
        <c:lblAlgn val="ctr"/>
        <c:lblOffset val="100"/>
        <c:noMultiLvlLbl val="0"/>
      </c:catAx>
      <c:valAx>
        <c:axId val="94027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'CA3'!$M$93:$M$95</c:f>
              <c:numCache>
                <c:formatCode>_(* #,##0_);_(* \(#,##0\);_(* "-"??_);_(@_)</c:formatCode>
                <c:ptCount val="3"/>
                <c:pt idx="0">
                  <c:v>58544</c:v>
                </c:pt>
                <c:pt idx="1">
                  <c:v>38533</c:v>
                </c:pt>
                <c:pt idx="2">
                  <c:v>97077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D-41FA-9628-ECFFC06FE2FB}"/>
            </c:ext>
          </c:extLst>
        </c:ser>
        <c:ser>
          <c:idx val="1"/>
          <c:order val="1"/>
          <c:tx>
            <c:strRef>
              <c:f>'CA3'!$N$92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'CA3'!$N$93:$N$95</c:f>
              <c:numCache>
                <c:formatCode>_(* #,##0_);_(* \(#,##0\);_(* "-"??_);_(@_)</c:formatCode>
                <c:ptCount val="3"/>
                <c:pt idx="0">
                  <c:v>20625</c:v>
                </c:pt>
                <c:pt idx="1">
                  <c:v>12055</c:v>
                </c:pt>
                <c:pt idx="2">
                  <c:v>32680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8D-41FA-9628-ECFFC06FE2FB}"/>
            </c:ext>
          </c:extLst>
        </c:ser>
        <c:ser>
          <c:idx val="2"/>
          <c:order val="2"/>
          <c:tx>
            <c:strRef>
              <c:f>'CA3'!$O$92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'CA3'!$O$93:$O$95</c:f>
              <c:numCache>
                <c:formatCode>_(* #,##0_);_(* \(#,##0\);_(* "-"??_);_(@_)</c:formatCode>
                <c:ptCount val="3"/>
                <c:pt idx="0">
                  <c:v>-37919</c:v>
                </c:pt>
                <c:pt idx="1">
                  <c:v>-26478</c:v>
                </c:pt>
                <c:pt idx="2">
                  <c:v>-64397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8D-41FA-9628-ECFFC06FE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7128"/>
        <c:axId val="940271440"/>
      </c:barChart>
      <c:catAx>
        <c:axId val="940267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1440"/>
        <c:crosses val="autoZero"/>
        <c:auto val="1"/>
        <c:lblAlgn val="ctr"/>
        <c:lblOffset val="100"/>
        <c:noMultiLvlLbl val="0"/>
      </c:catAx>
      <c:valAx>
        <c:axId val="94027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7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'CA3'!$AS$34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2D-4636-B095-D7F4B348CB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2D-4636-B095-D7F4B348CB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'CA3'!$AS$35:$AS$36</c:f>
              <c:numCache>
                <c:formatCode>_(* #,##0_);_(* \(#,##0\);_(* "-"??_);_(@_)</c:formatCode>
                <c:ptCount val="2"/>
                <c:pt idx="0">
                  <c:v>18501</c:v>
                </c:pt>
                <c:pt idx="1">
                  <c:v>161025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2D-4636-B095-D7F4B348CB0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'CA3'!$AS$39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298-4F06-B62B-CDC2330ABD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298-4F06-B62B-CDC2330ABD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'CA3'!$AS$40:$AS$41</c:f>
              <c:numCache>
                <c:formatCode>_(* #,##0_);_(* \(#,##0\);_(* "-"??_);_(@_)</c:formatCode>
                <c:ptCount val="2"/>
                <c:pt idx="0">
                  <c:v>30524</c:v>
                </c:pt>
                <c:pt idx="1">
                  <c:v>205314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98-4F06-B62B-CDC2330ABDF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'CA3'!$AS$47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8F-604D-B832-F7D53D9EE5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68F-604D-B832-F7D53D9EE5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'CA3'!$AR$48:$AR$49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'CA3'!$AS$48:$AS$49</c:f>
              <c:numCache>
                <c:formatCode>_(* #,##0_);_(* \(#,##0\);_(* "-"??_);_(@_)</c:formatCode>
                <c:ptCount val="2"/>
                <c:pt idx="0">
                  <c:v>71888</c:v>
                </c:pt>
                <c:pt idx="1">
                  <c:v>582445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8F-604D-B832-F7D53D9EE55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863B7B-F866-D849-960C-09AB572C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1634</Words>
  <Characters>9316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California Health INsurance Coverage for American Indians and Alaska Natives:  The Impact of the affordable care act 2012-2016.</vt:lpstr>
      <vt:lpstr>Abstract</vt:lpstr>
      <vt:lpstr>Methodology</vt:lpstr>
      <vt:lpstr>Findings</vt:lpstr>
      <vt:lpstr>        Summary Tables:  California</vt:lpstr>
      <vt:lpstr/>
      <vt:lpstr>Health Insurance Coverage </vt:lpstr>
      <vt:lpstr>    Health Insurance Coverage of all American Indians and Alaska Natives</vt:lpstr>
      <vt:lpstr>    Health Insurance Coverage for American Indians and Alaska Natives with Access to</vt:lpstr>
      <vt:lpstr>    Health Insurance Coverage for American Indians and Alaska Natives Without Acces</vt:lpstr>
      <vt:lpstr>Uninsured American Indians and Alaska Natives </vt:lpstr>
      <vt:lpstr>    Uninsured American Indians and Alaska Natives:  Total Population</vt:lpstr>
      <vt:lpstr>    Uninsured American Indians and Alaska Natives with Access to IHS </vt:lpstr>
      <vt:lpstr>    Uninsured American Indians and Alaska Natives without Access to IHS </vt:lpstr>
      <vt:lpstr>Conclusion</vt:lpstr>
      <vt:lpstr>        Change in Access to IHS from 2012 to 2016:  California</vt:lpstr>
      <vt:lpstr>        Change in the Uninsured Rate for American Indians and Alaska Natives 2012 to 201</vt:lpstr>
    </vt:vector>
  </TitlesOfParts>
  <Company>Hewlett-Packard Company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2017-03-19T12:41:00Z</cp:lastPrinted>
  <dcterms:created xsi:type="dcterms:W3CDTF">2018-02-26T16:09:00Z</dcterms:created>
  <dcterms:modified xsi:type="dcterms:W3CDTF">2018-04-19T18:05:00Z</dcterms:modified>
</cp:coreProperties>
</file>